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EU AI Act Preparedness for Business Professionals</w:t>
      </w:r>
    </w:p>
    <w:p>
      <w:pPr>
        <w:spacing w:after="200"/>
      </w:pPr>
      <w:r>
        <w:rPr>
          <w:i/>
          <w:color w:val="6B7094"/>
        </w:rPr>
        <w:t>A practical guide to the AI Act for the people who run AI-touching projects — which systems fall under it, what their risk level requires, and when to bring in legal.</w:t>
      </w:r>
    </w:p>
    <w:p>
      <w:pPr>
        <w:pStyle w:val="Heading1"/>
        <w:spacing w:before="280" w:after="80"/>
      </w:pPr>
      <w:r>
        <w:rPr>
          <w:color w:val="2D3A8C"/>
          <w:sz w:val="26"/>
        </w:rPr>
        <w:t>Duration</w:t>
      </w:r>
    </w:p>
    <w:p>
      <w:r>
        <w:t>3-6 hours</w:t>
      </w:r>
    </w:p>
    <w:p>
      <w:pPr>
        <w:pStyle w:val="Heading1"/>
        <w:spacing w:before="280" w:after="80"/>
      </w:pPr>
      <w:r>
        <w:rPr>
          <w:color w:val="2D3A8C"/>
          <w:sz w:val="26"/>
        </w:rPr>
        <w:t>Intended Learners</w:t>
      </w:r>
    </w:p>
    <w:p>
      <w:r>
        <w:t>For professionals who oversee, manage, or serve as subject-matter experts on projects involving AI and algorithmic systems.</w:t>
      </w:r>
    </w:p>
    <w:p>
      <w:pPr>
        <w:pStyle w:val="ListBullet"/>
        <w:spacing w:after="40"/>
      </w:pPr>
      <w:r>
        <w:t>Product and project managers running AI-touching initiatives</w:t>
      </w:r>
    </w:p>
    <w:p>
      <w:pPr>
        <w:pStyle w:val="ListBullet"/>
        <w:spacing w:after="40"/>
      </w:pPr>
      <w:r>
        <w:t>Business analysts specifying requirements for algorithmic systems</w:t>
      </w:r>
    </w:p>
    <w:p>
      <w:pPr>
        <w:pStyle w:val="ListBullet"/>
        <w:spacing w:after="40"/>
      </w:pPr>
      <w:r>
        <w:t>Compliance officers preparing their organization for the Act</w:t>
      </w:r>
    </w:p>
    <w:p>
      <w:pPr>
        <w:pStyle w:val="ListBullet"/>
        <w:spacing w:after="40"/>
      </w:pPr>
      <w:r>
        <w:t>Marketing and sales leaders using algorithmic personalization</w:t>
      </w:r>
    </w:p>
    <w:p>
      <w:pPr>
        <w:pStyle w:val="ListBullet"/>
        <w:spacing w:after="40"/>
      </w:pPr>
      <w:r>
        <w:t>Risk and fraud analysts whose scoring and detection models may fall under the Act</w:t>
      </w:r>
    </w:p>
    <w:p>
      <w:pPr>
        <w:pStyle w:val="ListBullet"/>
        <w:spacing w:after="40"/>
      </w:pPr>
      <w:r>
        <w:t>Insurance and banking professionals — sectors with explicitly named high-risk use cases</w:t>
      </w:r>
    </w:p>
    <w:p>
      <w:pPr>
        <w:pStyle w:val="Heading1"/>
        <w:spacing w:before="280" w:after="80"/>
      </w:pPr>
      <w:r>
        <w:rPr>
          <w:color w:val="2D3A8C"/>
          <w:sz w:val="26"/>
        </w:rPr>
        <w:t>Prerequisites</w:t>
      </w:r>
    </w:p>
    <w:p>
      <w:r>
        <w:t>None.</w:t>
      </w:r>
    </w:p>
    <w:p>
      <w:pPr>
        <w:pStyle w:val="Heading1"/>
        <w:spacing w:before="280" w:after="80"/>
      </w:pPr>
      <w:r>
        <w:rPr>
          <w:color w:val="2D3A8C"/>
          <w:sz w:val="26"/>
        </w:rPr>
        <w:t>What You Will Learn</w:t>
      </w:r>
    </w:p>
    <w:p>
      <w:pPr>
        <w:pStyle w:val="ListBullet"/>
        <w:spacing w:after="40"/>
      </w:pPr>
      <w:r>
        <w:t>Translate the AI Act's legal framework into concrete business and operational requirements</w:t>
      </w:r>
    </w:p>
    <w:p>
      <w:pPr>
        <w:pStyle w:val="ListBullet"/>
        <w:spacing w:after="40"/>
      </w:pPr>
      <w:r>
        <w:t>Classify the risk level of your AI systems using the Act's criteria</w:t>
      </w:r>
    </w:p>
    <w:p>
      <w:pPr>
        <w:pStyle w:val="ListBullet"/>
        <w:spacing w:after="40"/>
      </w:pPr>
      <w:r>
        <w:t>Recognize prohibited AI practices before they become legal or reputational damage</w:t>
      </w:r>
    </w:p>
    <w:p>
      <w:pPr>
        <w:pStyle w:val="ListBullet"/>
        <w:spacing w:after="40"/>
      </w:pPr>
      <w:r>
        <w:t>Review existing and planned projects for compliance gaps</w:t>
      </w:r>
    </w:p>
    <w:p>
      <w:pPr>
        <w:pStyle w:val="ListBullet"/>
        <w:spacing w:after="40"/>
      </w:pPr>
      <w:r>
        <w:t>Document an AI use case well enough to hand it to legal and technical teams and start the compliance process</w:t>
      </w:r>
    </w:p>
    <w:p>
      <w:pPr>
        <w:pStyle w:val="ListBullet"/>
        <w:spacing w:after="40"/>
      </w:pPr>
      <w:r>
        <w:t>Hold your own in conversations with legal, compliance, and technical stakeholders about what the Act means for your project</w:t>
      </w:r>
    </w:p>
    <w:p>
      <w:pPr>
        <w:pStyle w:val="ListBullet"/>
        <w:spacing w:after="40"/>
      </w:pPr>
      <w:r>
        <w:t>Sketch a realistic roadmap for aligning your AI initiatives with the regulation</w:t>
      </w:r>
    </w:p>
    <w:p>
      <w:pPr>
        <w:pStyle w:val="Heading1"/>
        <w:spacing w:before="280" w:after="80"/>
      </w:pPr>
      <w:r>
        <w:rPr>
          <w:color w:val="2D3A8C"/>
          <w:sz w:val="26"/>
        </w:rPr>
        <w:t>Course Description</w:t>
      </w:r>
    </w:p>
    <w:p>
      <w:pPr>
        <w:spacing w:after="120"/>
      </w:pPr>
      <w:r>
        <w:t>Your team already uses algorithms to personalize marketing, calculate risk scores, or catch fraud. These systems work — and now the EU AI Act applies to many of them. The practical question is not whether the regulation matters but what it asks of your specific projects, and how to find out without wading through the legal text yourself.</w:t>
      </w:r>
    </w:p>
    <w:p>
      <w:pPr>
        <w:spacing w:after="120"/>
      </w:pPr>
      <w:r>
        <w:t>This training is built for the business and domain expert, not the lawyer. We skip legal theory and work through the practical questions: which of your projects count as AI systems under the Act, what risk tier they land in, what obligations that tier carries, and — just as important — when to escalate to legal and what to hand them. The core of the session is a workshop where we classify your real use cases, with a closer look at the high-risk categories in banking, insurance, and HR.</w:t>
      </w:r>
    </w:p>
    <w:p>
      <w:pPr>
        <w:spacing w:after="120"/>
      </w:pPr>
      <w:r>
        <w:t>You leave able to run a first-pass assessment of your own portfolio, document a use case in the form legal and technical teams need, and speak about the Act's implications without hedging. The framing throughout is honest: the regulation constrains some things, but a team that understands it builds systems that are more transparent and easier to defend — which is worth having regardless.</w:t>
      </w:r>
    </w:p>
    <w:p>
      <w:pPr>
        <w:pStyle w:val="Heading1"/>
        <w:spacing w:before="280" w:after="80"/>
      </w:pPr>
      <w:r>
        <w:rPr>
          <w:color w:val="2D3A8C"/>
          <w:sz w:val="26"/>
        </w:rPr>
        <w:t>High-Level Curriculum</w:t>
      </w:r>
    </w:p>
    <w:p>
      <w:pPr>
        <w:spacing w:before="120" w:after="40"/>
      </w:pPr>
      <w:r>
        <w:rPr>
          <w:b/>
        </w:rPr>
        <w:t>The AI Act in a nutshell</w:t>
      </w:r>
    </w:p>
    <w:p>
      <w:pPr>
        <w:pStyle w:val="ListBullet"/>
        <w:spacing w:after="40"/>
      </w:pPr>
      <w:r>
        <w:t>What is an "AI system"? Decoding the official definition</w:t>
      </w:r>
    </w:p>
    <w:p>
      <w:pPr>
        <w:pStyle w:val="ListBullet"/>
        <w:spacing w:after="40"/>
      </w:pPr>
      <w:r>
        <w:t>The risk-based tiers: from minimal risk to prohibited practices</w:t>
      </w:r>
    </w:p>
    <w:p>
      <w:pPr>
        <w:pStyle w:val="ListBullet"/>
        <w:spacing w:after="40"/>
      </w:pPr>
      <w:r>
        <w:t>The AI Act vs. GDPR: regulating algorithms, not just data</w:t>
      </w:r>
    </w:p>
    <w:p>
      <w:pPr>
        <w:spacing w:before="120" w:after="40"/>
      </w:pPr>
      <w:r>
        <w:rPr>
          <w:b/>
        </w:rPr>
        <w:t>Is your project high-risk? A practical assessment</w:t>
      </w:r>
    </w:p>
    <w:p>
      <w:pPr>
        <w:pStyle w:val="ListBullet"/>
        <w:spacing w:after="40"/>
      </w:pPr>
      <w:r>
        <w:t>High-risk categories in depth: banking, insurance, HR, and more</w:t>
      </w:r>
    </w:p>
    <w:p>
      <w:pPr>
        <w:pStyle w:val="ListBullet"/>
        <w:spacing w:after="40"/>
      </w:pPr>
      <w:r>
        <w:t>Workshop: classifying your real-world use cases</w:t>
      </w:r>
    </w:p>
    <w:p>
      <w:pPr>
        <w:pStyle w:val="ListBullet"/>
        <w:spacing w:after="40"/>
      </w:pPr>
      <w:r>
        <w:t>What a high-risk classification actually means for a project</w:t>
      </w:r>
    </w:p>
    <w:p>
      <w:pPr>
        <w:spacing w:before="120" w:after="40"/>
      </w:pPr>
      <w:r>
        <w:rPr>
          <w:b/>
        </w:rPr>
        <w:t>Your role in compliance</w:t>
      </w:r>
    </w:p>
    <w:p>
      <w:pPr>
        <w:pStyle w:val="ListBullet"/>
        <w:spacing w:after="40"/>
      </w:pPr>
      <w:r>
        <w:t>Triggers and red flags: when to escalate to the legal department</w:t>
      </w:r>
    </w:p>
    <w:p>
      <w:pPr>
        <w:pStyle w:val="ListBullet"/>
        <w:spacing w:after="40"/>
      </w:pPr>
      <w:r>
        <w:t>Documenting your system for compliance audits</w:t>
      </w:r>
    </w:p>
    <w:p>
      <w:pPr>
        <w:pStyle w:val="ListBullet"/>
        <w:spacing w:after="40"/>
      </w:pPr>
      <w:r>
        <w:t>From theory to action: kickstarting your team's compliance work</w:t>
      </w:r>
    </w:p>
    <w:p>
      <w:pPr>
        <w:spacing w:before="120" w:after="40"/>
      </w:pPr>
      <w:r>
        <w:rPr>
          <w:b/>
        </w:rPr>
        <w:t>Strategic outlook</w:t>
      </w:r>
    </w:p>
    <w:p>
      <w:pPr>
        <w:pStyle w:val="ListBullet"/>
        <w:spacing w:after="40"/>
      </w:pPr>
      <w:r>
        <w:t>Innovating within regulatory boundaries</w:t>
      </w:r>
    </w:p>
    <w:p>
      <w:pPr>
        <w:pStyle w:val="ListBullet"/>
        <w:spacing w:after="40"/>
      </w:pPr>
      <w:r>
        <w:t>Building a culture of responsible AI</w:t>
      </w:r>
    </w:p>
    <w:p>
      <w:pPr>
        <w:pStyle w:val="ListBullet"/>
        <w:spacing w:after="40"/>
      </w:pPr>
      <w:r>
        <w:t>What's next in AI regulation</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