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Príprava na EU AI Act pre biznis profesionálov</w:t>
      </w:r>
    </w:p>
    <w:p>
      <w:pPr>
        <w:spacing w:after="200"/>
      </w:pPr>
      <w:r>
        <w:rPr>
          <w:i/>
          <w:color w:val="6B7094"/>
        </w:rPr>
        <w:t>Praktický sprievodca Aktom o AI pre ľudí, ktorí vedú projekty s AI — ktoré systémy pod Akt spadajú, čo vyžaduje ich úroveň rizika a kedy zavolať právnikov.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3-6 hours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profesionálov, ktorí dohliadajú na projekty s umelou inteligenciou a algoritmickými systémami, riadia ich alebo sú v nich doménovými expertmi.</w:t>
      </w:r>
    </w:p>
    <w:p>
      <w:pPr>
        <w:pStyle w:val="ListBullet"/>
        <w:spacing w:after="40"/>
      </w:pPr>
      <w:r>
        <w:t>Produktoví a projektoví manažéri vedúci iniciatívy s AI</w:t>
      </w:r>
    </w:p>
    <w:p>
      <w:pPr>
        <w:pStyle w:val="ListBullet"/>
        <w:spacing w:after="40"/>
      </w:pPr>
      <w:r>
        <w:t>Biznis analytici špecifikujúci požiadavky na algoritmické systémy</w:t>
      </w:r>
    </w:p>
    <w:p>
      <w:pPr>
        <w:pStyle w:val="ListBullet"/>
        <w:spacing w:after="40"/>
      </w:pPr>
      <w:r>
        <w:t>Compliance špecialisti pripravujúci organizáciu na Akt</w:t>
      </w:r>
    </w:p>
    <w:p>
      <w:pPr>
        <w:pStyle w:val="ListBullet"/>
        <w:spacing w:after="40"/>
      </w:pPr>
      <w:r>
        <w:t>Lídri v marketingu a predaji využívajúci algoritmickú personalizáciu</w:t>
      </w:r>
    </w:p>
    <w:p>
      <w:pPr>
        <w:pStyle w:val="ListBullet"/>
        <w:spacing w:after="40"/>
      </w:pPr>
      <w:r>
        <w:t>Analytici rizík a podvodov, ktorých skóringové a detekčné modely môžu spadať pod Akt</w:t>
      </w:r>
    </w:p>
    <w:p>
      <w:pPr>
        <w:pStyle w:val="ListBullet"/>
        <w:spacing w:after="40"/>
      </w:pPr>
      <w:r>
        <w:t>Profesionáli z poisťovníctva a bankovníctva — sektorov s výslovne menovanými vysokorizikovými use casemi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Žiadne.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Preložíte právny rámec Aktu o AI do konkrétnych biznisových a prevádzkových požiadaviek</w:t>
      </w:r>
    </w:p>
    <w:p>
      <w:pPr>
        <w:pStyle w:val="ListBullet"/>
        <w:spacing w:after="40"/>
      </w:pPr>
      <w:r>
        <w:t>Zaradíte svoje AI systémy do úrovní rizika podľa kritérií Aktu</w:t>
      </w:r>
    </w:p>
    <w:p>
      <w:pPr>
        <w:pStyle w:val="ListBullet"/>
        <w:spacing w:after="40"/>
      </w:pPr>
      <w:r>
        <w:t>Rozpoznáte zakázané praktiky AI skôr, než sa z nich stane právna alebo reputačná škoda</w:t>
      </w:r>
    </w:p>
    <w:p>
      <w:pPr>
        <w:pStyle w:val="ListBullet"/>
        <w:spacing w:after="40"/>
      </w:pPr>
      <w:r>
        <w:t>Preveríte existujúce aj plánované projekty na medzery v súlade</w:t>
      </w:r>
    </w:p>
    <w:p>
      <w:pPr>
        <w:pStyle w:val="ListBullet"/>
        <w:spacing w:after="40"/>
      </w:pPr>
      <w:r>
        <w:t>Zdokumentujete AI use case tak, aby ho právny a technický tím vedeli prevziať a rozbehnúť proces súladu</w:t>
      </w:r>
    </w:p>
    <w:p>
      <w:pPr>
        <w:pStyle w:val="ListBullet"/>
        <w:spacing w:after="40"/>
      </w:pPr>
      <w:r>
        <w:t>Obstojíte v rozhovoroch s právnymi, compliance a technickými kolegami o tom, čo Akt znamená pre váš projekt</w:t>
      </w:r>
    </w:p>
    <w:p>
      <w:pPr>
        <w:pStyle w:val="ListBullet"/>
        <w:spacing w:after="40"/>
      </w:pPr>
      <w:r>
        <w:t>Načrtnete realistický plán zosúladenia vašich AI iniciatív s reguláciou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Váš tím už dnes používa algoritmy na personalizáciu marketingu, výpočet rizikového skóre či odhaľovanie podvodov. Tieto systémy fungujú — a na mnohé z nich sa teraz vzťahuje EU AI Act. Praktická otázka neznie, či je regulácia dôležitá, ale čo konkrétne žiada od vašich projektov — a ako to zistiť bez toho, aby ste sa museli prehrýzť právnym textom sami.</w:t>
      </w:r>
    </w:p>
    <w:p>
      <w:pPr>
        <w:spacing w:after="120"/>
      </w:pPr>
      <w:r>
        <w:t>Toto školenie je stavané pre biznis a doménových expertov, nie pre právnikov. Právnu teóriu vynechávame a prechádzame praktické otázky: ktoré z vašich projektov sú podľa Aktu systémami AI, do ktorej úrovne rizika spadajú, aké povinnosti daná úroveň nesie a — rovnako dôležité — kedy eskalovať na právne oddelenie a čo im odovzdať. Jadrom je workshop, v ktorom klasifikujeme vaše reálne use casey, s bližším pohľadom na vysokorizikové kategórie v bankovníctve, poisťovníctve a HR.</w:t>
      </w:r>
    </w:p>
    <w:p>
      <w:pPr>
        <w:spacing w:after="120"/>
      </w:pPr>
      <w:r>
        <w:t>Odchádzate schopní urobiť prvé posúdenie vlastného portfólia, zdokumentovať use case v podobe, akú právny a technický tím potrebujú, a hovoriť o dôsledkoch Aktu bez vytáčania. Rámec je celý čas úprimný: regulácia niektoré veci obmedzuje, ale tím, ktorý jej rozumie, stavia transparentnejšie a ľahšie obhájiteľné systémy — a to sa oplatí tak či tak.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Akt o AI v kocke</w:t>
      </w:r>
    </w:p>
    <w:p>
      <w:pPr>
        <w:pStyle w:val="ListBullet"/>
        <w:spacing w:after="40"/>
      </w:pPr>
      <w:r>
        <w:t>Čo je „systém AI“? Dešifrovanie oficiálnej definície</w:t>
      </w:r>
    </w:p>
    <w:p>
      <w:pPr>
        <w:pStyle w:val="ListBullet"/>
        <w:spacing w:after="40"/>
      </w:pPr>
      <w:r>
        <w:t>Úrovne rizika: od minimálneho rizika po zakázané praktiky</w:t>
      </w:r>
    </w:p>
    <w:p>
      <w:pPr>
        <w:pStyle w:val="ListBullet"/>
        <w:spacing w:after="40"/>
      </w:pPr>
      <w:r>
        <w:t>Akt o AI vs. GDPR: regulácia algoritmov, nielen dát</w:t>
      </w:r>
    </w:p>
    <w:p>
      <w:pPr>
        <w:spacing w:before="120" w:after="40"/>
      </w:pPr>
      <w:r>
        <w:rPr>
          <w:b/>
        </w:rPr>
        <w:t>Je váš projekt vysokorizikový? Praktické posúdenie</w:t>
      </w:r>
    </w:p>
    <w:p>
      <w:pPr>
        <w:pStyle w:val="ListBullet"/>
        <w:spacing w:after="40"/>
      </w:pPr>
      <w:r>
        <w:t>Vysokorizikové kategórie do hĺbky: bankovníctvo, poisťovníctvo, HR a ďalšie</w:t>
      </w:r>
    </w:p>
    <w:p>
      <w:pPr>
        <w:pStyle w:val="ListBullet"/>
        <w:spacing w:after="40"/>
      </w:pPr>
      <w:r>
        <w:t>Workshop: klasifikácia vašich reálnych use caseov</w:t>
      </w:r>
    </w:p>
    <w:p>
      <w:pPr>
        <w:pStyle w:val="ListBullet"/>
        <w:spacing w:after="40"/>
      </w:pPr>
      <w:r>
        <w:t>Čo klasifikácia ako vysokorizikový systém pre projekt naozaj znamená</w:t>
      </w:r>
    </w:p>
    <w:p>
      <w:pPr>
        <w:spacing w:before="120" w:after="40"/>
      </w:pPr>
      <w:r>
        <w:rPr>
          <w:b/>
        </w:rPr>
        <w:t>Vaša rola v súlade s Aktom</w:t>
      </w:r>
    </w:p>
    <w:p>
      <w:pPr>
        <w:pStyle w:val="ListBullet"/>
        <w:spacing w:after="40"/>
      </w:pPr>
      <w:r>
        <w:t>Spúšťače a varovné signály: kedy eskalovať na právne oddelenie</w:t>
      </w:r>
    </w:p>
    <w:p>
      <w:pPr>
        <w:pStyle w:val="ListBullet"/>
        <w:spacing w:after="40"/>
      </w:pPr>
      <w:r>
        <w:t>Dokumentovanie vášho systému pre audity súladu</w:t>
      </w:r>
    </w:p>
    <w:p>
      <w:pPr>
        <w:pStyle w:val="ListBullet"/>
        <w:spacing w:after="40"/>
      </w:pPr>
      <w:r>
        <w:t>Od teórie k praxi: naštartovanie compliance práce vášho tímu</w:t>
      </w:r>
    </w:p>
    <w:p>
      <w:pPr>
        <w:spacing w:before="120" w:after="40"/>
      </w:pPr>
      <w:r>
        <w:rPr>
          <w:b/>
        </w:rPr>
        <w:t>Strategický výhľad</w:t>
      </w:r>
    </w:p>
    <w:p>
      <w:pPr>
        <w:pStyle w:val="ListBullet"/>
        <w:spacing w:after="40"/>
      </w:pPr>
      <w:r>
        <w:t>Inovácie v rámci regulačných hraníc</w:t>
      </w:r>
    </w:p>
    <w:p>
      <w:pPr>
        <w:pStyle w:val="ListBullet"/>
        <w:spacing w:after="40"/>
      </w:pPr>
      <w:r>
        <w:t>Budovanie kultúry zodpovednej AI</w:t>
      </w:r>
    </w:p>
    <w:p>
      <w:pPr>
        <w:pStyle w:val="ListBullet"/>
        <w:spacing w:after="40"/>
      </w:pPr>
      <w:r>
        <w:t>Čo nás čaká v regulácii AI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