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2D3A8C"/>
        </w:rPr>
        <w:t>EU AI Act for Developers &amp; Data Scientists</w:t>
      </w:r>
    </w:p>
    <w:p>
      <w:pPr>
        <w:spacing w:after="200"/>
      </w:pPr>
      <w:r>
        <w:rPr>
          <w:i/>
          <w:color w:val="6B7094"/>
        </w:rPr>
        <w:t>The AI Act translated into engineering work — logging and traceability, Model Cards and Datasheets aligned with Annex IV, bias audits in Python, and architectures with real human oversight.</w:t>
      </w:r>
    </w:p>
    <w:p>
      <w:pPr>
        <w:pStyle w:val="Heading1"/>
        <w:spacing w:before="280" w:after="80"/>
      </w:pPr>
      <w:r>
        <w:rPr>
          <w:color w:val="2D3A8C"/>
          <w:sz w:val="26"/>
        </w:rPr>
        <w:t>Duration</w:t>
      </w:r>
    </w:p>
    <w:p>
      <w:r>
        <w:t>1-2 days</w:t>
      </w:r>
    </w:p>
    <w:p>
      <w:pPr>
        <w:pStyle w:val="Heading1"/>
        <w:spacing w:before="280" w:after="80"/>
      </w:pPr>
      <w:r>
        <w:rPr>
          <w:color w:val="2D3A8C"/>
          <w:sz w:val="26"/>
        </w:rPr>
        <w:t>Intended Learners</w:t>
      </w:r>
    </w:p>
    <w:p>
      <w:r>
        <w:t>For the technical people who will actually have to build the compliance into the system.</w:t>
      </w:r>
    </w:p>
    <w:p>
      <w:pPr>
        <w:pStyle w:val="ListBullet"/>
        <w:spacing w:after="40"/>
      </w:pPr>
      <w:r>
        <w:t>Software developers building or integrating AI features</w:t>
      </w:r>
    </w:p>
    <w:p>
      <w:pPr>
        <w:pStyle w:val="ListBullet"/>
        <w:spacing w:after="40"/>
      </w:pPr>
      <w:r>
        <w:t>Data scientists and ML engineers designing, training, and deploying models</w:t>
      </w:r>
    </w:p>
    <w:p>
      <w:pPr>
        <w:pStyle w:val="ListBullet"/>
        <w:spacing w:after="40"/>
      </w:pPr>
      <w:r>
        <w:t>MLOps and DevOps engineers who own the AI system lifecycle</w:t>
      </w:r>
    </w:p>
    <w:p>
      <w:pPr>
        <w:pStyle w:val="ListBullet"/>
        <w:spacing w:after="40"/>
      </w:pPr>
      <w:r>
        <w:t>Technical team leads guiding their teams toward compliant products</w:t>
      </w:r>
    </w:p>
    <w:p>
      <w:pPr>
        <w:pStyle w:val="ListBullet"/>
        <w:spacing w:after="40"/>
      </w:pPr>
      <w:r>
        <w:t>QA engineers and testers validating AI system requirements</w:t>
      </w:r>
    </w:p>
    <w:p>
      <w:pPr>
        <w:pStyle w:val="Heading1"/>
        <w:spacing w:before="280" w:after="80"/>
      </w:pPr>
      <w:r>
        <w:rPr>
          <w:color w:val="2D3A8C"/>
          <w:sz w:val="26"/>
        </w:rPr>
        <w:t>Prerequisites</w:t>
      </w:r>
    </w:p>
    <w:p>
      <w:r>
        <w:t>Basic understanding of software development or machine learning concepts. Familiarity with Python is recommended for the hands-on bias-auditing section.</w:t>
      </w:r>
    </w:p>
    <w:p>
      <w:pPr>
        <w:pStyle w:val="Heading1"/>
        <w:spacing w:before="280" w:after="80"/>
      </w:pPr>
      <w:r>
        <w:rPr>
          <w:color w:val="2D3A8C"/>
          <w:sz w:val="26"/>
        </w:rPr>
        <w:t>What You Will Learn</w:t>
      </w:r>
    </w:p>
    <w:p>
      <w:pPr>
        <w:pStyle w:val="ListBullet"/>
        <w:spacing w:after="40"/>
      </w:pPr>
      <w:r>
        <w:t>Turn abstract legal requirements into concrete technical tasks and specifications</w:t>
      </w:r>
    </w:p>
    <w:p>
      <w:pPr>
        <w:pStyle w:val="ListBullet"/>
        <w:spacing w:after="40"/>
      </w:pPr>
      <w:r>
        <w:t>Implement logging and traceability mechanisms that satisfy auditor requirements</w:t>
      </w:r>
    </w:p>
    <w:p>
      <w:pPr>
        <w:pStyle w:val="ListBullet"/>
        <w:spacing w:after="40"/>
      </w:pPr>
      <w:r>
        <w:t>Write Model Cards and Datasheets that align with Annex IV of the Act</w:t>
      </w:r>
    </w:p>
    <w:p>
      <w:pPr>
        <w:pStyle w:val="ListBullet"/>
        <w:spacing w:after="40"/>
      </w:pPr>
      <w:r>
        <w:t>Audit machine learning models for fairness and bias using practical Python techniques</w:t>
      </w:r>
    </w:p>
    <w:p>
      <w:pPr>
        <w:pStyle w:val="ListBullet"/>
        <w:spacing w:after="40"/>
      </w:pPr>
      <w:r>
        <w:t>Design architectures that incorporate human-in-the-loop oversight as a real control, not a checkbox</w:t>
      </w:r>
    </w:p>
    <w:p>
      <w:pPr>
        <w:pStyle w:val="ListBullet"/>
        <w:spacing w:after="40"/>
      </w:pPr>
      <w:r>
        <w:t>Automate aspects of compliance within your CI/CD and MLOps pipelines</w:t>
      </w:r>
    </w:p>
    <w:p>
      <w:pPr>
        <w:pStyle w:val="Heading1"/>
        <w:spacing w:before="280" w:after="80"/>
      </w:pPr>
      <w:r>
        <w:rPr>
          <w:color w:val="2D3A8C"/>
          <w:sz w:val="26"/>
        </w:rPr>
        <w:t>Course Description</w:t>
      </w:r>
    </w:p>
    <w:p>
      <w:pPr>
        <w:spacing w:after="120"/>
      </w:pPr>
      <w:r>
        <w:t>At some point an email from the legal team about the "EU AI Act" lands in your backlog — full of warnings, empty of specifications. You are expected to build something compliant, but nobody has told you what that means in code, and guessing wrong costs sprints of rework. This training exists to close exactly that gap between the legal text and the system you ship.</w:t>
      </w:r>
    </w:p>
    <w:p>
      <w:pPr>
        <w:spacing w:after="120"/>
      </w:pPr>
      <w:r>
        <w:t>We keep the legal analysis to the minimum needed and spend the time on the "how": code patterns, architectural designs, and documentation templates for building compliant AI from the start. You will write Model Cards and Datasheets aligned with Annex IV, work through a hands-on bias and fairness audit in Python, design logging that an auditor can actually use, and see how human-oversight mechanisms fit into an architecture. Where it makes sense, we automate — compliance checks as part of CI/CD and MLOps pipelines rather than a yearly scramble.</w:t>
      </w:r>
    </w:p>
    <w:p>
      <w:pPr>
        <w:spacing w:after="120"/>
      </w:pPr>
      <w:r>
        <w:t>You leave with reusable templates and patterns, and with the ability to produce technical evidence of compliance — the thing regulators, auditors, and your own legal team will keep asking for.</w:t>
      </w:r>
    </w:p>
    <w:p>
      <w:pPr>
        <w:pStyle w:val="Heading1"/>
        <w:spacing w:before="280" w:after="80"/>
      </w:pPr>
      <w:r>
        <w:rPr>
          <w:color w:val="2D3A8C"/>
          <w:sz w:val="26"/>
        </w:rPr>
        <w:t>High-Level Curriculum</w:t>
      </w:r>
    </w:p>
    <w:p>
      <w:pPr>
        <w:spacing w:before="120" w:after="40"/>
      </w:pPr>
      <w:r>
        <w:rPr>
          <w:b/>
        </w:rPr>
        <w:t>The EU AI Act core essentials</w:t>
      </w:r>
    </w:p>
    <w:p>
      <w:pPr>
        <w:pStyle w:val="ListBullet"/>
        <w:spacing w:after="40"/>
      </w:pPr>
      <w:r>
        <w:t>What the Act regulates and how obligations attach to systems</w:t>
      </w:r>
    </w:p>
    <w:p>
      <w:pPr>
        <w:pStyle w:val="ListBullet"/>
        <w:spacing w:after="40"/>
      </w:pPr>
      <w:r>
        <w:t>From legal requirement to technical specification</w:t>
      </w:r>
    </w:p>
    <w:p>
      <w:pPr>
        <w:spacing w:before="120" w:after="40"/>
      </w:pPr>
      <w:r>
        <w:rPr>
          <w:b/>
        </w:rPr>
        <w:t>Technical documentation that works</w:t>
      </w:r>
    </w:p>
    <w:p>
      <w:pPr>
        <w:pStyle w:val="ListBullet"/>
        <w:spacing w:after="40"/>
      </w:pPr>
      <w:r>
        <w:t>Building Model Cards and Datasheets</w:t>
      </w:r>
    </w:p>
    <w:p>
      <w:pPr>
        <w:pStyle w:val="ListBullet"/>
        <w:spacing w:after="40"/>
      </w:pPr>
      <w:r>
        <w:t>Aligning documentation with Annex IV</w:t>
      </w:r>
    </w:p>
    <w:p>
      <w:pPr>
        <w:spacing w:before="120" w:after="40"/>
      </w:pPr>
      <w:r>
        <w:rPr>
          <w:b/>
        </w:rPr>
        <w:t>Hands-on fairness and bias auditing</w:t>
      </w:r>
    </w:p>
    <w:p>
      <w:pPr>
        <w:pStyle w:val="ListBullet"/>
        <w:spacing w:after="40"/>
      </w:pPr>
      <w:r>
        <w:t>A practical audit workflow in Python</w:t>
      </w:r>
    </w:p>
    <w:p>
      <w:pPr>
        <w:pStyle w:val="ListBullet"/>
        <w:spacing w:after="40"/>
      </w:pPr>
      <w:r>
        <w:t>Turning audit results into compliance evidence</w:t>
      </w:r>
    </w:p>
    <w:p>
      <w:pPr>
        <w:spacing w:before="120" w:after="40"/>
      </w:pPr>
      <w:r>
        <w:rPr>
          <w:b/>
        </w:rPr>
        <w:t>Logging for compliance</w:t>
      </w:r>
    </w:p>
    <w:p>
      <w:pPr>
        <w:pStyle w:val="ListBullet"/>
        <w:spacing w:after="40"/>
      </w:pPr>
      <w:r>
        <w:t>What to record and how to prove it</w:t>
      </w:r>
    </w:p>
    <w:p>
      <w:pPr>
        <w:pStyle w:val="ListBullet"/>
        <w:spacing w:after="40"/>
      </w:pPr>
      <w:r>
        <w:t>Traceability that satisfies auditors</w:t>
      </w:r>
    </w:p>
    <w:p>
      <w:pPr>
        <w:spacing w:before="120" w:after="40"/>
      </w:pPr>
      <w:r>
        <w:rPr>
          <w:b/>
        </w:rPr>
        <w:t>Architecting for human oversight</w:t>
      </w:r>
    </w:p>
    <w:p>
      <w:pPr>
        <w:pStyle w:val="ListBullet"/>
        <w:spacing w:after="40"/>
      </w:pPr>
      <w:r>
        <w:t>Implementing human-in-the-loop control mechanisms</w:t>
      </w:r>
    </w:p>
    <w:p>
      <w:pPr>
        <w:pStyle w:val="ListBullet"/>
        <w:spacing w:after="40"/>
      </w:pPr>
      <w:r>
        <w:t>Automating compliance in CI/CD and MLOps pipelines</w:t>
      </w:r>
    </w:p>
    <w:sectPr w:rsidR="00FC693F" w:rsidRPr="0006063C" w:rsidSect="00034616">
      <w:footerReference w:type="default" r:id="rId9"/>
      <w:pgSz w:w="12240" w:h="15840"/>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094"/>
        <w:sz w:val="16"/>
      </w:rPr>
      <w:t>Robert Barcik — LearningDoe s.r.o. — barcik.training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