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EU AI Act pre vývojárov a dátových vedcov</w:t>
      </w:r>
    </w:p>
    <w:p>
      <w:pPr>
        <w:spacing w:after="200"/>
      </w:pPr>
      <w:r>
        <w:rPr>
          <w:i/>
          <w:color w:val="6B7094"/>
        </w:rPr>
        <w:t>Akt o AI preložený do inžinierskej práce — logovanie a sledovateľnosť, Model Cards a Datasheets podľa Prílohy IV, audity zaujatosti v Pythone a architektúry so skutočným ľudským dohľadom.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1-2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technických ľudí, ktorí budú musieť súlad do systému reálne zabudovať.</w:t>
      </w:r>
    </w:p>
    <w:p>
      <w:pPr>
        <w:pStyle w:val="ListBullet"/>
        <w:spacing w:after="40"/>
      </w:pPr>
      <w:r>
        <w:t>Softvéroví vývojári, ktorí stavajú alebo integrujú AI funkcie</w:t>
      </w:r>
    </w:p>
    <w:p>
      <w:pPr>
        <w:pStyle w:val="ListBullet"/>
        <w:spacing w:after="40"/>
      </w:pPr>
      <w:r>
        <w:t>Dátoví vedci a ML inžinieri, ktorí navrhujú, trénujú a nasadzujú modely</w:t>
      </w:r>
    </w:p>
    <w:p>
      <w:pPr>
        <w:pStyle w:val="ListBullet"/>
        <w:spacing w:after="40"/>
      </w:pPr>
      <w:r>
        <w:t>MLOps a DevOps inžinieri zodpovední za životný cyklus AI systémov</w:t>
      </w:r>
    </w:p>
    <w:p>
      <w:pPr>
        <w:pStyle w:val="ListBullet"/>
        <w:spacing w:after="40"/>
      </w:pPr>
      <w:r>
        <w:t>Technickí lídri, ktorí vedú svoje tímy k compliant produktom</w:t>
      </w:r>
    </w:p>
    <w:p>
      <w:pPr>
        <w:pStyle w:val="ListBullet"/>
        <w:spacing w:after="40"/>
      </w:pPr>
      <w:r>
        <w:t>QA inžinieri a testeri validujúci požiadavky na AI systémy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Základné porozumenie vývoju softvéru alebo konceptom strojového učenia. Pre praktickú časť o audite zaujatosti sa odporúča znalosť Pythonu.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Pretavíte abstraktné právne požiadavky do konkrétnych technických úloh a špecifikácií</w:t>
      </w:r>
    </w:p>
    <w:p>
      <w:pPr>
        <w:pStyle w:val="ListBullet"/>
        <w:spacing w:after="40"/>
      </w:pPr>
      <w:r>
        <w:t>Implementujete mechanizmy logovania a sledovateľnosti, ktoré obstoja pred audítorom</w:t>
      </w:r>
    </w:p>
    <w:p>
      <w:pPr>
        <w:pStyle w:val="ListBullet"/>
        <w:spacing w:after="40"/>
      </w:pPr>
      <w:r>
        <w:t>Napíšete Model Cards a Datasheets v súlade s Prílohou IV Aktu</w:t>
      </w:r>
    </w:p>
    <w:p>
      <w:pPr>
        <w:pStyle w:val="ListBullet"/>
        <w:spacing w:after="40"/>
      </w:pPr>
      <w:r>
        <w:t>Zauditujete modely strojového učenia na spravodlivosť (fairness) a zaujatosť (bias) praktickými technikami v Pythone</w:t>
      </w:r>
    </w:p>
    <w:p>
      <w:pPr>
        <w:pStyle w:val="ListBullet"/>
        <w:spacing w:after="40"/>
      </w:pPr>
      <w:r>
        <w:t>Navrhnete architektúry, v ktorých je ľudský dohľad (human-in-the-loop) skutočnou kontrolou, nie odškrtnutým políčkom</w:t>
      </w:r>
    </w:p>
    <w:p>
      <w:pPr>
        <w:pStyle w:val="ListBullet"/>
        <w:spacing w:after="40"/>
      </w:pPr>
      <w:r>
        <w:t>Zautomatizujete časti súladu v rámci CI/CD a MLOps pipeline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Raz vám do backlogu pristane e-mail od právneho oddelenia o „EU AI Act" — plný varovaní, bez jedinej špecifikácie. Očakáva sa, že postavíte niečo compliant, ale nikto vám nepovedal, čo to znamená v kóde, a zlý odhad stojí šprinty prerábok. Toto školenie existuje presne na preklenutie medzery medzi právnym textom a systémom, ktorý dodávate.</w:t>
      </w:r>
    </w:p>
    <w:p>
      <w:pPr>
        <w:spacing w:after="120"/>
      </w:pPr>
      <w:r>
        <w:t>Právnu analýzu držíme na nutnom minime a čas venujeme tomu „ako": vzory kódu, návrhy architektúry a šablóny dokumentácie na stavbu compliant AI od začiatku. Napíšete si Model Cards a Datasheets podľa Prílohy IV, prejdete praktickým auditom zaujatosti a spravodlivosti v Pythone, navrhnete logovanie, s ktorým audítor reálne dokáže pracovať, a uvidíte, ako do architektúry zapadajú mechanizmy ľudského dohľadu. Kde to dáva zmysel, automatizujeme — compliance kontroly ako súčasť CI/CD a MLOps pipeline, nie každoročný zhon.</w:t>
      </w:r>
    </w:p>
    <w:p>
      <w:pPr>
        <w:spacing w:after="120"/>
      </w:pPr>
      <w:r>
        <w:t>Odchádzate so znovupoužiteľnými šablónami a vzormi a so schopnosťou vytvárať technické dôkazy súladu — presne to, čo od vás budú regulátori, audítori aj vlastné právne oddelenie opakovane žiadať.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Základy EU AI Act</w:t>
      </w:r>
    </w:p>
    <w:p>
      <w:pPr>
        <w:pStyle w:val="ListBullet"/>
        <w:spacing w:after="40"/>
      </w:pPr>
      <w:r>
        <w:t>Čo Akt reguluje a ako sa povinnosti viažu na systémy</w:t>
      </w:r>
    </w:p>
    <w:p>
      <w:pPr>
        <w:pStyle w:val="ListBullet"/>
        <w:spacing w:after="40"/>
      </w:pPr>
      <w:r>
        <w:t>Od právnej požiadavky k technickej špecifikácii</w:t>
      </w:r>
    </w:p>
    <w:p>
      <w:pPr>
        <w:spacing w:before="120" w:after="40"/>
      </w:pPr>
      <w:r>
        <w:rPr>
          <w:b/>
        </w:rPr>
        <w:t>Technická dokumentácia, ktorá funguje</w:t>
      </w:r>
    </w:p>
    <w:p>
      <w:pPr>
        <w:pStyle w:val="ListBullet"/>
        <w:spacing w:after="40"/>
      </w:pPr>
      <w:r>
        <w:t>Tvorba Model Cards a Datasheets</w:t>
      </w:r>
    </w:p>
    <w:p>
      <w:pPr>
        <w:pStyle w:val="ListBullet"/>
        <w:spacing w:after="40"/>
      </w:pPr>
      <w:r>
        <w:t>Zosúladenie dokumentácie s Prílohou IV</w:t>
      </w:r>
    </w:p>
    <w:p>
      <w:pPr>
        <w:spacing w:before="120" w:after="40"/>
      </w:pPr>
      <w:r>
        <w:rPr>
          <w:b/>
        </w:rPr>
        <w:t>Praktický audit spravodlivosti a zaujatosti</w:t>
      </w:r>
    </w:p>
    <w:p>
      <w:pPr>
        <w:pStyle w:val="ListBullet"/>
        <w:spacing w:after="40"/>
      </w:pPr>
      <w:r>
        <w:t>Praktický audítorský postup v Pythone</w:t>
      </w:r>
    </w:p>
    <w:p>
      <w:pPr>
        <w:pStyle w:val="ListBullet"/>
        <w:spacing w:after="40"/>
      </w:pPr>
      <w:r>
        <w:t>Premena výsledkov auditu na dôkazy súladu</w:t>
      </w:r>
    </w:p>
    <w:p>
      <w:pPr>
        <w:spacing w:before="120" w:after="40"/>
      </w:pPr>
      <w:r>
        <w:rPr>
          <w:b/>
        </w:rPr>
        <w:t>Logovanie pre súlad</w:t>
      </w:r>
    </w:p>
    <w:p>
      <w:pPr>
        <w:pStyle w:val="ListBullet"/>
        <w:spacing w:after="40"/>
      </w:pPr>
      <w:r>
        <w:t>Čo zaznamenávať a ako to preukázať</w:t>
      </w:r>
    </w:p>
    <w:p>
      <w:pPr>
        <w:pStyle w:val="ListBullet"/>
        <w:spacing w:after="40"/>
      </w:pPr>
      <w:r>
        <w:t>Sledovateľnosť, ktorá obstojí pred audítormi</w:t>
      </w:r>
    </w:p>
    <w:p>
      <w:pPr>
        <w:spacing w:before="120" w:after="40"/>
      </w:pPr>
      <w:r>
        <w:rPr>
          <w:b/>
        </w:rPr>
        <w:t>Architektúra pre ľudský dohľad</w:t>
      </w:r>
    </w:p>
    <w:p>
      <w:pPr>
        <w:pStyle w:val="ListBullet"/>
        <w:spacing w:after="40"/>
      </w:pPr>
      <w:r>
        <w:t>Implementácia kontrolných mechanizmov human-in-the-loop</w:t>
      </w:r>
    </w:p>
    <w:p>
      <w:pPr>
        <w:pStyle w:val="ListBullet"/>
        <w:spacing w:after="40"/>
      </w:pPr>
      <w:r>
        <w:t>Automatizácia súladu v CI/CD a MLOps pipeline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