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2D3A8C"/>
        </w:rPr>
        <w:t>EU AI Act for Leaders &amp; Executives</w:t>
      </w:r>
    </w:p>
    <w:p>
      <w:pPr>
        <w:spacing w:after="200"/>
      </w:pPr>
      <w:r>
        <w:rPr>
          <w:i/>
          <w:color w:val="6B7094"/>
        </w:rPr>
        <w:t>An executive briefing on the AI Act — the strategic risks and opportunities, what compliance will cost, and the questions to ask your teams and your vendors.</w:t>
      </w:r>
    </w:p>
    <w:p>
      <w:pPr>
        <w:pStyle w:val="Heading1"/>
        <w:spacing w:before="280" w:after="80"/>
      </w:pPr>
      <w:r>
        <w:rPr>
          <w:color w:val="2D3A8C"/>
          <w:sz w:val="26"/>
        </w:rPr>
        <w:t>Duration</w:t>
      </w:r>
    </w:p>
    <w:p>
      <w:r>
        <w:t>1-3 hours</w:t>
      </w:r>
    </w:p>
    <w:p>
      <w:pPr>
        <w:pStyle w:val="Heading1"/>
        <w:spacing w:before="280" w:after="80"/>
      </w:pPr>
      <w:r>
        <w:rPr>
          <w:color w:val="2D3A8C"/>
          <w:sz w:val="26"/>
        </w:rPr>
        <w:t>Intended Learners</w:t>
      </w:r>
    </w:p>
    <w:p>
      <w:r>
        <w:t>A briefing format, not a course: short, decision-oriented, and adjusted to the AI exposure of your organization.</w:t>
      </w:r>
    </w:p>
    <w:p>
      <w:pPr>
        <w:pStyle w:val="ListBullet"/>
        <w:spacing w:after="40"/>
      </w:pPr>
      <w:r>
        <w:t>C-level executives (CEO, CTO, CIO) and VPs making strategic AI decisions</w:t>
      </w:r>
    </w:p>
    <w:p>
      <w:pPr>
        <w:pStyle w:val="ListBullet"/>
        <w:spacing w:after="40"/>
      </w:pPr>
      <w:r>
        <w:t>Directors and department heads overseeing teams that build or buy AI</w:t>
      </w:r>
    </w:p>
    <w:p>
      <w:pPr>
        <w:pStyle w:val="ListBullet"/>
        <w:spacing w:after="40"/>
      </w:pPr>
      <w:r>
        <w:t>Business leaders responsible for P&amp;L and risk management</w:t>
      </w:r>
    </w:p>
    <w:p>
      <w:pPr>
        <w:pStyle w:val="ListBullet"/>
        <w:spacing w:after="40"/>
      </w:pPr>
      <w:r>
        <w:t>Investors and board members who need to understand the new liability landscape</w:t>
      </w:r>
    </w:p>
    <w:p>
      <w:pPr>
        <w:pStyle w:val="Heading1"/>
        <w:spacing w:before="280" w:after="80"/>
      </w:pPr>
      <w:r>
        <w:rPr>
          <w:color w:val="2D3A8C"/>
          <w:sz w:val="26"/>
        </w:rPr>
        <w:t>Prerequisites</w:t>
      </w:r>
    </w:p>
    <w:p>
      <w:r>
        <w:t>Experience in a leadership or management role helps. No technical or legal expertise required.</w:t>
      </w:r>
    </w:p>
    <w:p>
      <w:pPr>
        <w:pStyle w:val="Heading1"/>
        <w:spacing w:before="280" w:after="80"/>
      </w:pPr>
      <w:r>
        <w:rPr>
          <w:color w:val="2D3A8C"/>
          <w:sz w:val="26"/>
        </w:rPr>
        <w:t>What You Will Learn</w:t>
      </w:r>
    </w:p>
    <w:p>
      <w:pPr>
        <w:pStyle w:val="ListBullet"/>
        <w:spacing w:after="40"/>
      </w:pPr>
      <w:r>
        <w:t>Understand the business implications of the AI Act without wading through legal jargon</w:t>
      </w:r>
    </w:p>
    <w:p>
      <w:pPr>
        <w:pStyle w:val="ListBullet"/>
        <w:spacing w:after="40"/>
      </w:pPr>
      <w:r>
        <w:t>Assess the strategic risks and opportunities the regulation creates in your market</w:t>
      </w:r>
    </w:p>
    <w:p>
      <w:pPr>
        <w:pStyle w:val="ListBullet"/>
        <w:spacing w:after="40"/>
      </w:pPr>
      <w:r>
        <w:t>Budget for high-risk AI compliance and reason about its return on investment</w:t>
      </w:r>
    </w:p>
    <w:p>
      <w:pPr>
        <w:pStyle w:val="ListBullet"/>
        <w:spacing w:after="40"/>
      </w:pPr>
      <w:r>
        <w:t>Put a vendor due diligence process in place so you don't inherit risk from suppliers</w:t>
      </w:r>
    </w:p>
    <w:p>
      <w:pPr>
        <w:pStyle w:val="ListBullet"/>
        <w:spacing w:after="40"/>
      </w:pPr>
      <w:r>
        <w:t>Present your AI strategy and risk posture to the board and investors with confidence</w:t>
      </w:r>
    </w:p>
    <w:p>
      <w:pPr>
        <w:pStyle w:val="ListBullet"/>
        <w:spacing w:after="40"/>
      </w:pPr>
      <w:r>
        <w:t>Build a defensible culture of compliance across the organization</w:t>
      </w:r>
    </w:p>
    <w:p>
      <w:pPr>
        <w:pStyle w:val="Heading1"/>
        <w:spacing w:before="280" w:after="80"/>
      </w:pPr>
      <w:r>
        <w:rPr>
          <w:color w:val="2D3A8C"/>
          <w:sz w:val="26"/>
        </w:rPr>
        <w:t>Course Description</w:t>
      </w:r>
    </w:p>
    <w:p>
      <w:pPr>
        <w:spacing w:after="120"/>
      </w:pPr>
      <w:r>
        <w:t>The EU AI Act is not just a compliance item for the legal department — it reshapes the market you operate in. Decisions about AI now carry fines of up to €35 million and real reputational exposure, and they sit with leadership, not with the engineers. The questions worth asking are blunt: which of our AI initiatives carry regulatory risk, what will compliance cost, and where does the regulation create openings our competitors will miss?</w:t>
      </w:r>
    </w:p>
    <w:p>
      <w:pPr>
        <w:spacing w:after="120"/>
      </w:pPr>
      <w:r>
        <w:t>This briefing is built to help you answer those questions. We skip everything a leader can delegate and keep what cannot be delegated: how to read the regulation as a strategic force, how to budget for high-risk compliance and judge its ROI, how to run due diligence on AI vendors so their risk doesn't become yours, and how governance and liability now land at the executive level. You leave with the frameworks and the vocabulary to question your teams, brief your board, and make AI decisions you can defend later.</w:t>
      </w:r>
    </w:p>
    <w:p>
      <w:pPr>
        <w:pStyle w:val="Heading1"/>
        <w:spacing w:before="280" w:after="80"/>
      </w:pPr>
      <w:r>
        <w:rPr>
          <w:color w:val="2D3A8C"/>
          <w:sz w:val="26"/>
        </w:rPr>
        <w:t>High-Level Curriculum</w:t>
      </w:r>
    </w:p>
    <w:p>
      <w:pPr>
        <w:spacing w:before="120" w:after="40"/>
      </w:pPr>
      <w:r>
        <w:rPr>
          <w:b/>
        </w:rPr>
        <w:t>The EU AI Act core essentials</w:t>
      </w:r>
    </w:p>
    <w:p>
      <w:pPr>
        <w:pStyle w:val="ListBullet"/>
        <w:spacing w:after="40"/>
      </w:pPr>
      <w:r>
        <w:t>What the Act regulates and who carries the liability</w:t>
      </w:r>
    </w:p>
    <w:p>
      <w:pPr>
        <w:pStyle w:val="ListBullet"/>
        <w:spacing w:after="40"/>
      </w:pPr>
      <w:r>
        <w:t>Fines up to €35 million: what is actually at stake</w:t>
      </w:r>
    </w:p>
    <w:p>
      <w:pPr>
        <w:spacing w:before="120" w:after="40"/>
      </w:pPr>
      <w:r>
        <w:rPr>
          <w:b/>
        </w:rPr>
        <w:t>Strategic risk and opportunity analysis: a leader's framework</w:t>
      </w:r>
    </w:p>
    <w:p>
      <w:pPr>
        <w:pStyle w:val="ListBullet"/>
        <w:spacing w:after="40"/>
      </w:pPr>
      <w:r>
        <w:t>Reading the regulation as a market-shaping force</w:t>
      </w:r>
    </w:p>
    <w:p>
      <w:pPr>
        <w:pStyle w:val="ListBullet"/>
        <w:spacing w:after="40"/>
      </w:pPr>
      <w:r>
        <w:t>Positioning your organization to win in a regulated AI market</w:t>
      </w:r>
    </w:p>
    <w:p>
      <w:pPr>
        <w:spacing w:before="120" w:after="40"/>
      </w:pPr>
      <w:r>
        <w:rPr>
          <w:b/>
        </w:rPr>
        <w:t>Budgeting for AI compliance</w:t>
      </w:r>
    </w:p>
    <w:p>
      <w:pPr>
        <w:pStyle w:val="ListBullet"/>
        <w:spacing w:after="40"/>
      </w:pPr>
      <w:r>
        <w:t>What high-risk compliance costs and how to plan for it</w:t>
      </w:r>
    </w:p>
    <w:p>
      <w:pPr>
        <w:pStyle w:val="ListBullet"/>
        <w:spacing w:after="40"/>
      </w:pPr>
      <w:r>
        <w:t>Reasoning about the ROI of compliance work</w:t>
      </w:r>
    </w:p>
    <w:p>
      <w:pPr>
        <w:spacing w:before="120" w:after="40"/>
      </w:pPr>
      <w:r>
        <w:rPr>
          <w:b/>
        </w:rPr>
        <w:t>The C-suite vendor due diligence checklist</w:t>
      </w:r>
    </w:p>
    <w:p>
      <w:pPr>
        <w:pStyle w:val="ListBullet"/>
        <w:spacing w:after="40"/>
      </w:pPr>
      <w:r>
        <w:t>Questions to ask before you buy AI</w:t>
      </w:r>
    </w:p>
    <w:p>
      <w:pPr>
        <w:pStyle w:val="ListBullet"/>
        <w:spacing w:after="40"/>
      </w:pPr>
      <w:r>
        <w:t>Avoiding inherited risk from suppliers</w:t>
      </w:r>
    </w:p>
    <w:p>
      <w:pPr>
        <w:spacing w:before="120" w:after="40"/>
      </w:pPr>
      <w:r>
        <w:rPr>
          <w:b/>
        </w:rPr>
        <w:t>Governance, liability, and a compliant culture</w:t>
      </w:r>
    </w:p>
    <w:p>
      <w:pPr>
        <w:pStyle w:val="ListBullet"/>
        <w:spacing w:after="40"/>
      </w:pPr>
      <w:r>
        <w:t>The new liability landscape for boards and executives</w:t>
      </w:r>
    </w:p>
    <w:p>
      <w:pPr>
        <w:pStyle w:val="ListBullet"/>
        <w:spacing w:after="40"/>
      </w:pPr>
      <w:r>
        <w:t>Building a culture of compliance that holds up under scrutiny</w:t>
      </w:r>
    </w:p>
    <w:sectPr w:rsidR="00FC693F" w:rsidRPr="0006063C" w:rsidSect="00034616">
      <w:footerReference w:type="default" r:id="rId9"/>
      <w:pgSz w:w="12240" w:h="15840"/>
      <w:pgMar w:top="1247" w:right="1247"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7094"/>
        <w:sz w:val="16"/>
      </w:rPr>
      <w:t>Robert Barcik — LearningDoe s.r.o. — barcik.training</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