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EU AI Act pre lídrov a vrcholový manažment</w:t>
      </w:r>
    </w:p>
    <w:p>
      <w:pPr>
        <w:spacing w:after="200"/>
      </w:pPr>
      <w:r>
        <w:rPr>
          <w:i/>
          <w:color w:val="6B7094"/>
        </w:rPr>
        <w:t>Exekutívny briefing o Akte o AI — strategické riziká a príležitosti, koľko bude súlad stáť a aké otázky klásť svojim tímom a dodávateľom.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1-3 hours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Formát briefingu, nie kurzu: krátky, orientovaný na rozhodnutia a prispôsobený tomu, ako veľmi je vaša organizácia vystavená AI.</w:t>
      </w:r>
    </w:p>
    <w:p>
      <w:pPr>
        <w:pStyle w:val="ListBullet"/>
        <w:spacing w:after="40"/>
      </w:pPr>
      <w:r>
        <w:t>Vrcholový manažment (CEO, CTO, CIO) a viceprezidenti, ktorí robia strategické rozhodnutia o AI</w:t>
      </w:r>
    </w:p>
    <w:p>
      <w:pPr>
        <w:pStyle w:val="ListBullet"/>
        <w:spacing w:after="40"/>
      </w:pPr>
      <w:r>
        <w:t>Riaditelia a vedúci oddelení, ktorých tímy AI stavajú alebo nakupujú</w:t>
      </w:r>
    </w:p>
    <w:p>
      <w:pPr>
        <w:pStyle w:val="ListBullet"/>
        <w:spacing w:after="40"/>
      </w:pPr>
      <w:r>
        <w:t>Biznis lídri zodpovední za P&amp;L a riadenie rizík</w:t>
      </w:r>
    </w:p>
    <w:p>
      <w:pPr>
        <w:pStyle w:val="ListBullet"/>
        <w:spacing w:after="40"/>
      </w:pPr>
      <w:r>
        <w:t>Investori a členovia predstavenstiev, ktorí potrebujú rozumieť novému rámcu zodpovednosti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Skúsenosť z vedúcej alebo manažérskej roly pomôže. Technická ani právna odbornosť sa nevyžaduje.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Porozumiete biznisovým dôsledkom Aktu o AI bez brodenia sa právnickým žargónom</w:t>
      </w:r>
    </w:p>
    <w:p>
      <w:pPr>
        <w:pStyle w:val="ListBullet"/>
        <w:spacing w:after="40"/>
      </w:pPr>
      <w:r>
        <w:t>Zhodnotíte strategické riziká a príležitosti, ktoré regulácia vytvára na vašom trhu</w:t>
      </w:r>
    </w:p>
    <w:p>
      <w:pPr>
        <w:pStyle w:val="ListBullet"/>
        <w:spacing w:after="40"/>
      </w:pPr>
      <w:r>
        <w:t>Naplánujete rozpočet na súlad vysokorizikovej AI a viete uvažovať o jeho návratnosti</w:t>
      </w:r>
    </w:p>
    <w:p>
      <w:pPr>
        <w:pStyle w:val="ListBullet"/>
        <w:spacing w:after="40"/>
      </w:pPr>
      <w:r>
        <w:t>Zavediete proces due diligence dodávateľov, aby ste nepreberali ich riziko</w:t>
      </w:r>
    </w:p>
    <w:p>
      <w:pPr>
        <w:pStyle w:val="ListBullet"/>
        <w:spacing w:after="40"/>
      </w:pPr>
      <w:r>
        <w:t>S istotou odprezentujete AI stratégiu a postoj k rizikám predstavenstvu a investorom</w:t>
      </w:r>
    </w:p>
    <w:p>
      <w:pPr>
        <w:pStyle w:val="ListBullet"/>
        <w:spacing w:after="40"/>
      </w:pPr>
      <w:r>
        <w:t>Vybudujete v organizácii obhájiteľnú kultúru súladu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EU AI Act nie je len položka pre právne oddelenie — mení trh, na ktorom pôsobíte. Rozhodnutia o AI dnes nesú pokuty až do výšky 35 miliónov € a reálne reputačné riziko, a ležia na pleciach vedenia, nie inžinierov. Otázky, ktoré stoja za položenie, sú priame: ktoré z našich AI iniciatív nesú regulačné riziko, koľko bude súlad stáť a kde regulácia otvára príležitosti, ktoré konkurencia prehliadne?</w:t>
      </w:r>
    </w:p>
    <w:p>
      <w:pPr>
        <w:spacing w:after="120"/>
      </w:pPr>
      <w:r>
        <w:t>Tento briefing je stavaný tak, aby ste na tieto otázky vedeli odpovedať. Vynechávame všetko, čo líder môže delegovať, a nechávame to, čo delegovať nemôže: ako čítať reguláciu ako strategickú silu, ako rozpočtovať súlad vysokorizikovej AI a posúdiť jeho návratnosť, ako preveriť AI dodávateľov, aby sa ich riziko nestalo vaším, a ako riadenie a zodpovednosť dnes dopadajú na úroveň vedenia. Odchádzate s rámcami a slovníkom na to, aby ste sa vedeli pýtať svojich tímov, informovať predstavenstvo a robiť AI rozhodnutia, ktoré neskôr obhájite.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Základy EU AI Act</w:t>
      </w:r>
    </w:p>
    <w:p>
      <w:pPr>
        <w:pStyle w:val="ListBullet"/>
        <w:spacing w:after="40"/>
      </w:pPr>
      <w:r>
        <w:t>Čo Akt reguluje a kto nesie zodpovednosť</w:t>
      </w:r>
    </w:p>
    <w:p>
      <w:pPr>
        <w:pStyle w:val="ListBullet"/>
        <w:spacing w:after="40"/>
      </w:pPr>
      <w:r>
        <w:t>Pokuty až do 35 miliónov €: o čo v skutočnosti ide</w:t>
      </w:r>
    </w:p>
    <w:p>
      <w:pPr>
        <w:spacing w:before="120" w:after="40"/>
      </w:pPr>
      <w:r>
        <w:rPr>
          <w:b/>
        </w:rPr>
        <w:t>Analýza strategických rizík a príležitostí: rámec pre lídrov</w:t>
      </w:r>
    </w:p>
    <w:p>
      <w:pPr>
        <w:pStyle w:val="ListBullet"/>
        <w:spacing w:after="40"/>
      </w:pPr>
      <w:r>
        <w:t>Čítanie regulácie ako sily, ktorá formuje trh</w:t>
      </w:r>
    </w:p>
    <w:p>
      <w:pPr>
        <w:pStyle w:val="ListBullet"/>
        <w:spacing w:after="40"/>
      </w:pPr>
      <w:r>
        <w:t>Ako nastaviť organizáciu na úspech na regulovanom AI trhu</w:t>
      </w:r>
    </w:p>
    <w:p>
      <w:pPr>
        <w:spacing w:before="120" w:after="40"/>
      </w:pPr>
      <w:r>
        <w:rPr>
          <w:b/>
        </w:rPr>
        <w:t>Rozpočtovanie súladu v oblasti AI</w:t>
      </w:r>
    </w:p>
    <w:p>
      <w:pPr>
        <w:pStyle w:val="ListBullet"/>
        <w:spacing w:after="40"/>
      </w:pPr>
      <w:r>
        <w:t>Koľko stojí súlad vysokorizikovej AI a ako ho plánovať</w:t>
      </w:r>
    </w:p>
    <w:p>
      <w:pPr>
        <w:pStyle w:val="ListBullet"/>
        <w:spacing w:after="40"/>
      </w:pPr>
      <w:r>
        <w:t>Uvažovanie o návratnosti compliance práce</w:t>
      </w:r>
    </w:p>
    <w:p>
      <w:pPr>
        <w:spacing w:before="120" w:after="40"/>
      </w:pPr>
      <w:r>
        <w:rPr>
          <w:b/>
        </w:rPr>
        <w:t>Checklist due diligence dodávateľov pre vrcholový manažment</w:t>
      </w:r>
    </w:p>
    <w:p>
      <w:pPr>
        <w:pStyle w:val="ListBullet"/>
        <w:spacing w:after="40"/>
      </w:pPr>
      <w:r>
        <w:t>Otázky, ktoré treba položiť pred nákupom AI</w:t>
      </w:r>
    </w:p>
    <w:p>
      <w:pPr>
        <w:pStyle w:val="ListBullet"/>
        <w:spacing w:after="40"/>
      </w:pPr>
      <w:r>
        <w:t>Ako nepreberať riziko od dodávateľov</w:t>
      </w:r>
    </w:p>
    <w:p>
      <w:pPr>
        <w:spacing w:before="120" w:after="40"/>
      </w:pPr>
      <w:r>
        <w:rPr>
          <w:b/>
        </w:rPr>
        <w:t>Riadenie, zodpovednosť a kultúra súladu</w:t>
      </w:r>
    </w:p>
    <w:p>
      <w:pPr>
        <w:pStyle w:val="ListBullet"/>
        <w:spacing w:after="40"/>
      </w:pPr>
      <w:r>
        <w:t>Nový rámec zodpovednosti pre predstavenstvá a manažment</w:t>
      </w:r>
    </w:p>
    <w:p>
      <w:pPr>
        <w:pStyle w:val="ListBullet"/>
        <w:spacing w:after="40"/>
      </w:pPr>
      <w:r>
        <w:t>Budovanie kultúry súladu, ktorá obstojí pod drobnohľadom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