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EU AI Act for Legal &amp; Compliance Professionals</w:t>
      </w:r>
    </w:p>
    <w:p>
      <w:pPr>
        <w:spacing w:after="200"/>
      </w:pPr>
      <w:r>
        <w:rPr>
          <w:i/>
          <w:color w:val="6B7094"/>
        </w:rPr>
        <w:t>A full-day, article-by-article walk through the entire AI Act — definitions, prohibitions, high-risk obligations, governance, conformity, and enforcement.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1 day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The deepest training in our AI Act series: for the people whose job is the legal text itself, not a summary of it.</w:t>
      </w:r>
    </w:p>
    <w:p>
      <w:pPr>
        <w:pStyle w:val="ListBullet"/>
        <w:spacing w:after="40"/>
      </w:pPr>
      <w:r>
        <w:t>In-house and external legal counsel advising on the Act</w:t>
      </w:r>
    </w:p>
    <w:p>
      <w:pPr>
        <w:pStyle w:val="ListBullet"/>
        <w:spacing w:after="40"/>
      </w:pPr>
      <w:r>
        <w:t>Compliance officers and managers building their organization's compliance framework</w:t>
      </w:r>
    </w:p>
    <w:p>
      <w:pPr>
        <w:pStyle w:val="ListBullet"/>
        <w:spacing w:after="40"/>
      </w:pPr>
      <w:r>
        <w:t>Internal and external auditors assessing AI systems against regulatory requirements</w:t>
      </w:r>
    </w:p>
    <w:p>
      <w:pPr>
        <w:pStyle w:val="ListBullet"/>
        <w:spacing w:after="40"/>
      </w:pPr>
      <w:r>
        <w:t>Data Protection Officers (DPOs) extending their remit to AI governance</w:t>
      </w:r>
    </w:p>
    <w:p>
      <w:pPr>
        <w:pStyle w:val="ListBullet"/>
        <w:spacing w:after="40"/>
      </w:pPr>
      <w:r>
        <w:t>Policy advisors and public affairs professionals who need to know the legal text in depth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A background in law, compliance, or a related field is recommended but not strictly required. Expect a day spent close to the legal text.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Work confidently with the full legal text of the AI Act, from definitions to enforcement</w:t>
      </w:r>
    </w:p>
    <w:p>
      <w:pPr>
        <w:pStyle w:val="ListBullet"/>
        <w:spacing w:after="40"/>
      </w:pPr>
      <w:r>
        <w:t>Interpret the obligations around high-risk AI systems, conformity assessments, and technical documentation</w:t>
      </w:r>
    </w:p>
    <w:p>
      <w:pPr>
        <w:pStyle w:val="ListBullet"/>
        <w:spacing w:after="40"/>
      </w:pPr>
      <w:r>
        <w:t>Map the roles and responsibilities of providers, users, importers, and distributors</w:t>
      </w:r>
    </w:p>
    <w:p>
      <w:pPr>
        <w:pStyle w:val="ListBullet"/>
        <w:spacing w:after="40"/>
      </w:pPr>
      <w:r>
        <w:t>Build compliance strategies and governance frameworks for your organization or clients</w:t>
      </w:r>
    </w:p>
    <w:p>
      <w:pPr>
        <w:pStyle w:val="ListBullet"/>
        <w:spacing w:after="40"/>
      </w:pPr>
      <w:r>
        <w:t>Advise stakeholders on risk classification, fundamental rights impact, and prohibited AI practices</w:t>
      </w:r>
    </w:p>
    <w:p>
      <w:pPr>
        <w:pStyle w:val="ListBullet"/>
        <w:spacing w:after="40"/>
      </w:pPr>
      <w:r>
        <w:t>Prepare for enforcement — the powers of market surveillance authorities and the structure of penalties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For legal and compliance professionals, a working awareness of the AI Act is no longer enough. Your organization or clients will ask questions that summaries can't answer: does this system fall under the Act, which obligations apply, who carries them in our supply chain, and what happens if we get it wrong — with multi-million euro fines making the answers matter. Answering those questions requires knowing the regulation itself, not a slide about it.</w:t>
      </w:r>
    </w:p>
    <w:p>
      <w:pPr>
        <w:spacing w:after="120"/>
      </w:pPr>
      <w:r>
        <w:t>This full-day session reads the Act the way you will have to use it: systematically, title by title, article by article. We work through definitions and scope, the prohibited practices and their exemptions, the high-risk regime with its classification rules and obligations, transparency and general-purpose AI, the governance and innovation provisions including regulatory sandboxes, and finally conformity, standards, and post-market monitoring — the full compliance lifecycle. Throughout, we tie the text back to practice: what it means for drafting policies, advising on product design, and building a compliance program from the ground up.</w:t>
      </w:r>
    </w:p>
    <w:p>
      <w:pPr>
        <w:spacing w:after="120"/>
      </w:pPr>
      <w:r>
        <w:t>You leave with a granular map of the regulation and the confidence to give clear, grounded answers where colleagues can only gesture at summaries.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Introduction and scope (Title I)</w:t>
      </w:r>
    </w:p>
    <w:p>
      <w:pPr>
        <w:pStyle w:val="ListBullet"/>
        <w:spacing w:after="40"/>
      </w:pPr>
      <w:r>
        <w:t>Key definitions</w:t>
      </w:r>
    </w:p>
    <w:p>
      <w:pPr>
        <w:pStyle w:val="ListBullet"/>
        <w:spacing w:after="40"/>
      </w:pPr>
      <w:r>
        <w:t>Scope of the Act</w:t>
      </w:r>
    </w:p>
    <w:p>
      <w:pPr>
        <w:spacing w:before="120" w:after="40"/>
      </w:pPr>
      <w:r>
        <w:rPr>
          <w:b/>
        </w:rPr>
        <w:t>Prohibited AI and exemptions (Title II)</w:t>
      </w:r>
    </w:p>
    <w:p>
      <w:pPr>
        <w:pStyle w:val="ListBullet"/>
        <w:spacing w:after="40"/>
      </w:pPr>
      <w:r>
        <w:t>Understanding the red lines</w:t>
      </w:r>
    </w:p>
    <w:p>
      <w:pPr>
        <w:pStyle w:val="ListBullet"/>
        <w:spacing w:after="40"/>
      </w:pPr>
      <w:r>
        <w:t>The exemptions and their limits</w:t>
      </w:r>
    </w:p>
    <w:p>
      <w:pPr>
        <w:spacing w:before="120" w:after="40"/>
      </w:pPr>
      <w:r>
        <w:rPr>
          <w:b/>
        </w:rPr>
        <w:t>High-risk AI systems (Title III)</w:t>
      </w:r>
    </w:p>
    <w:p>
      <w:pPr>
        <w:pStyle w:val="ListBullet"/>
        <w:spacing w:after="40"/>
      </w:pPr>
      <w:r>
        <w:t>Classification rules</w:t>
      </w:r>
    </w:p>
    <w:p>
      <w:pPr>
        <w:pStyle w:val="ListBullet"/>
        <w:spacing w:after="40"/>
      </w:pPr>
      <w:r>
        <w:t>Requirements and obligations</w:t>
      </w:r>
    </w:p>
    <w:p>
      <w:pPr>
        <w:pStyle w:val="ListBullet"/>
        <w:spacing w:after="40"/>
      </w:pPr>
      <w:r>
        <w:t>Roles in the chain: providers, users, importers, distributors</w:t>
      </w:r>
    </w:p>
    <w:p>
      <w:pPr>
        <w:spacing w:before="120" w:after="40"/>
      </w:pPr>
      <w:r>
        <w:rPr>
          <w:b/>
        </w:rPr>
        <w:t>Transparency and general-purpose AI (Title IV)</w:t>
      </w:r>
    </w:p>
    <w:p>
      <w:pPr>
        <w:pStyle w:val="ListBullet"/>
        <w:spacing w:after="40"/>
      </w:pPr>
      <w:r>
        <w:t>Obligations for specific AI systems</w:t>
      </w:r>
    </w:p>
    <w:p>
      <w:pPr>
        <w:spacing w:before="120" w:after="40"/>
      </w:pPr>
      <w:r>
        <w:rPr>
          <w:b/>
        </w:rPr>
        <w:t>Governance and innovation (Titles V-VII)</w:t>
      </w:r>
    </w:p>
    <w:p>
      <w:pPr>
        <w:pStyle w:val="ListBullet"/>
        <w:spacing w:after="40"/>
      </w:pPr>
      <w:r>
        <w:t>Regulatory sandboxes</w:t>
      </w:r>
    </w:p>
    <w:p>
      <w:pPr>
        <w:pStyle w:val="ListBullet"/>
        <w:spacing w:after="40"/>
      </w:pPr>
      <w:r>
        <w:t>Governance bodies</w:t>
      </w:r>
    </w:p>
    <w:p>
      <w:pPr>
        <w:spacing w:before="120" w:after="40"/>
      </w:pPr>
      <w:r>
        <w:rPr>
          <w:b/>
        </w:rPr>
        <w:t>Conformity, standards, and post-market monitoring (Titles VIII-IX)</w:t>
      </w:r>
    </w:p>
    <w:p>
      <w:pPr>
        <w:pStyle w:val="ListBullet"/>
        <w:spacing w:after="40"/>
      </w:pPr>
      <w:r>
        <w:t>The compliance lifecycle</w:t>
      </w:r>
    </w:p>
    <w:p>
      <w:pPr>
        <w:pStyle w:val="ListBullet"/>
        <w:spacing w:after="40"/>
      </w:pPr>
      <w:r>
        <w:t>Market surveillance authorities and penalties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