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EU AI Act pre právnikov a compliance špecialistov</w:t>
      </w:r>
    </w:p>
    <w:p>
      <w:pPr>
        <w:spacing w:after="200"/>
      </w:pPr>
      <w:r>
        <w:rPr>
          <w:i/>
          <w:color w:val="6B7094"/>
        </w:rPr>
        <w:t>Celodenný rozbor celého Aktu o AI, článok po článku — definície, zákazy, povinnosti pri vysokom riziku, správa, zhoda a presadzovanie.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1 day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Najhlbšie školenie z našej série o Akte o AI: pre ľudí, ktorých prácou je samotný právny text, nie jeho zhrnutie.</w:t>
      </w:r>
    </w:p>
    <w:p>
      <w:pPr>
        <w:pStyle w:val="ListBullet"/>
        <w:spacing w:after="40"/>
      </w:pPr>
      <w:r>
        <w:t>Interní a externí právni poradcovia, ktorí radia k Aktu</w:t>
      </w:r>
    </w:p>
    <w:p>
      <w:pPr>
        <w:pStyle w:val="ListBullet"/>
        <w:spacing w:after="40"/>
      </w:pPr>
      <w:r>
        <w:t>Compliance špecialisti a manažéri budujúci rámec súladu vo svojej organizácii</w:t>
      </w:r>
    </w:p>
    <w:p>
      <w:pPr>
        <w:pStyle w:val="ListBullet"/>
        <w:spacing w:after="40"/>
      </w:pPr>
      <w:r>
        <w:t>Interní a externí audítori posudzujúci AI systémy voči regulačným požiadavkám</w:t>
      </w:r>
    </w:p>
    <w:p>
      <w:pPr>
        <w:pStyle w:val="ListBullet"/>
        <w:spacing w:after="40"/>
      </w:pPr>
      <w:r>
        <w:t>Zodpovedné osoby pre ochranu údajov (DPO), ktoré rozširujú svoju pôsobnosť o správu AI</w:t>
      </w:r>
    </w:p>
    <w:p>
      <w:pPr>
        <w:pStyle w:val="ListBullet"/>
        <w:spacing w:after="40"/>
      </w:pPr>
      <w:r>
        <w:t>Poradcovia pre verejné politiky a profesionáli v public affairs, ktorí potrebujú poznať právny text do hĺbky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Zázemie v práve, compliance alebo príbuznom odbore sa odporúča, nie je však nutnou podmienkou. Počítajte s dňom stráveným blízko právneho textu.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Budete s istotou pracovať s celým právnym textom Aktu o AI, od definícií po presadzovanie</w:t>
      </w:r>
    </w:p>
    <w:p>
      <w:pPr>
        <w:pStyle w:val="ListBullet"/>
        <w:spacing w:after="40"/>
      </w:pPr>
      <w:r>
        <w:t>Zinterpretujete povinnosti okolo vysokorizikových AI systémov, posudzovania zhody a technickej dokumentácie</w:t>
      </w:r>
    </w:p>
    <w:p>
      <w:pPr>
        <w:pStyle w:val="ListBullet"/>
        <w:spacing w:after="40"/>
      </w:pPr>
      <w:r>
        <w:t>Zmapujete úlohy a povinnosti poskytovateľov, používateľov, dovozcov a distribútorov</w:t>
      </w:r>
    </w:p>
    <w:p>
      <w:pPr>
        <w:pStyle w:val="ListBullet"/>
        <w:spacing w:after="40"/>
      </w:pPr>
      <w:r>
        <w:t>Vybudujete compliance stratégie a rámce riadenia pre svoju organizáciu alebo klientov</w:t>
      </w:r>
    </w:p>
    <w:p>
      <w:pPr>
        <w:pStyle w:val="ListBullet"/>
        <w:spacing w:after="40"/>
      </w:pPr>
      <w:r>
        <w:t>Poradíte zainteresovaným stranám v otázkach klasifikácie rizík, vplyvu na základné práva a zakázaných praktík AI</w:t>
      </w:r>
    </w:p>
    <w:p>
      <w:pPr>
        <w:pStyle w:val="ListBullet"/>
        <w:spacing w:after="40"/>
      </w:pPr>
      <w:r>
        <w:t>Pripravíte sa na presadzovanie — právomoci orgánov dohľadu nad trhom a štruktúru sankcií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Právnikom a compliance profesionálom už pracovné povedomie o Akte o AI nestačí. Organizácia či klienti sa budú pýtať otázky, na ktoré zhrnutia neodpovedia: spadá tento systém pod Akt, ktoré povinnosti sa naň vzťahujú, kto ich v našom dodávateľskom reťazci nesie a čo sa stane, keď to urobíme zle — pričom mnohomiliónové pokuty robia z odpovedí vážnu vec. Odpovedať na ne vyžaduje poznať samotné nariadenie, nie slajd o ňom.</w:t>
      </w:r>
    </w:p>
    <w:p>
      <w:pPr>
        <w:spacing w:after="120"/>
      </w:pPr>
      <w:r>
        <w:t>Toto celodenné školenie číta Akt tak, ako s ním budete musieť pracovať: systematicky, hlavu po hlave, článok po článku. Prejdeme definície a rozsah pôsobnosti, zakázané praktiky a ich výnimky, vysokorizikový režim s pravidlami klasifikácie a povinnosťami, transparentnosť a AI na všeobecné účely, ustanovenia o správe a inováciách vrátane regulačných sandboxov a napokon zhodu, normy a monitorovanie po uvedení na trh — celý životný cyklus compliance. Text pritom priebežne viažeme na prax: čo znamená pre tvorbu interných politík, poradenstvo pri návrhu produktov a budovanie compliance programu od základov.</w:t>
      </w:r>
    </w:p>
    <w:p>
      <w:pPr>
        <w:spacing w:after="120"/>
      </w:pPr>
      <w:r>
        <w:t>Odchádzate s podrobnou mapou nariadenia a s istotou dávať jasné, podložené odpovede tam, kde iní vedia len odkázať na zhrnutia.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Úvod a rozsah pôsobnosti (Hlava I)</w:t>
      </w:r>
    </w:p>
    <w:p>
      <w:pPr>
        <w:pStyle w:val="ListBullet"/>
        <w:spacing w:after="40"/>
      </w:pPr>
      <w:r>
        <w:t>Kľúčové definície</w:t>
      </w:r>
    </w:p>
    <w:p>
      <w:pPr>
        <w:pStyle w:val="ListBullet"/>
        <w:spacing w:after="40"/>
      </w:pPr>
      <w:r>
        <w:t>Rozsah pôsobnosti Aktu</w:t>
      </w:r>
    </w:p>
    <w:p>
      <w:pPr>
        <w:spacing w:before="120" w:after="40"/>
      </w:pPr>
      <w:r>
        <w:rPr>
          <w:b/>
        </w:rPr>
        <w:t>Zakázané praktiky AI a výnimky (Hlava II)</w:t>
      </w:r>
    </w:p>
    <w:p>
      <w:pPr>
        <w:pStyle w:val="ListBullet"/>
        <w:spacing w:after="40"/>
      </w:pPr>
      <w:r>
        <w:t>Neprekročiteľné hranice</w:t>
      </w:r>
    </w:p>
    <w:p>
      <w:pPr>
        <w:pStyle w:val="ListBullet"/>
        <w:spacing w:after="40"/>
      </w:pPr>
      <w:r>
        <w:t>Výnimky a ich limity</w:t>
      </w:r>
    </w:p>
    <w:p>
      <w:pPr>
        <w:spacing w:before="120" w:after="40"/>
      </w:pPr>
      <w:r>
        <w:rPr>
          <w:b/>
        </w:rPr>
        <w:t>Vysokorizikové systémy AI (Hlava III)</w:t>
      </w:r>
    </w:p>
    <w:p>
      <w:pPr>
        <w:pStyle w:val="ListBullet"/>
        <w:spacing w:after="40"/>
      </w:pPr>
      <w:r>
        <w:t>Pravidlá klasifikácie</w:t>
      </w:r>
    </w:p>
    <w:p>
      <w:pPr>
        <w:pStyle w:val="ListBullet"/>
        <w:spacing w:after="40"/>
      </w:pPr>
      <w:r>
        <w:t>Požiadavky a povinnosti</w:t>
      </w:r>
    </w:p>
    <w:p>
      <w:pPr>
        <w:pStyle w:val="ListBullet"/>
        <w:spacing w:after="40"/>
      </w:pPr>
      <w:r>
        <w:t>Roly v reťazci: poskytovatelia, používatelia, dovozcovia, distribútori</w:t>
      </w:r>
    </w:p>
    <w:p>
      <w:pPr>
        <w:spacing w:before="120" w:after="40"/>
      </w:pPr>
      <w:r>
        <w:rPr>
          <w:b/>
        </w:rPr>
        <w:t>Transparentnosť a AI na všeobecné účely (Hlava IV)</w:t>
      </w:r>
    </w:p>
    <w:p>
      <w:pPr>
        <w:pStyle w:val="ListBullet"/>
        <w:spacing w:after="40"/>
      </w:pPr>
      <w:r>
        <w:t>Povinnosti pre špecifické systémy AI</w:t>
      </w:r>
    </w:p>
    <w:p>
      <w:pPr>
        <w:spacing w:before="120" w:after="40"/>
      </w:pPr>
      <w:r>
        <w:rPr>
          <w:b/>
        </w:rPr>
        <w:t>Správa a inovácie (Hlavy V-VII)</w:t>
      </w:r>
    </w:p>
    <w:p>
      <w:pPr>
        <w:pStyle w:val="ListBullet"/>
        <w:spacing w:after="40"/>
      </w:pPr>
      <w:r>
        <w:t>Regulačné sandboxy</w:t>
      </w:r>
    </w:p>
    <w:p>
      <w:pPr>
        <w:pStyle w:val="ListBullet"/>
        <w:spacing w:after="40"/>
      </w:pPr>
      <w:r>
        <w:t>Orgány správy</w:t>
      </w:r>
    </w:p>
    <w:p>
      <w:pPr>
        <w:spacing w:before="120" w:after="40"/>
      </w:pPr>
      <w:r>
        <w:rPr>
          <w:b/>
        </w:rPr>
        <w:t>Zhoda, normy a monitorovanie po uvedení na trh (Hlavy VIII-IX)</w:t>
      </w:r>
    </w:p>
    <w:p>
      <w:pPr>
        <w:pStyle w:val="ListBullet"/>
        <w:spacing w:after="40"/>
      </w:pPr>
      <w:r>
        <w:t>Životný cyklus compliance</w:t>
      </w:r>
    </w:p>
    <w:p>
      <w:pPr>
        <w:pStyle w:val="ListBullet"/>
        <w:spacing w:after="40"/>
      </w:pPr>
      <w:r>
        <w:t>Orgány dohľadu nad trhom a sankcie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