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2D3A8C"/>
        </w:rPr>
        <w:t>EU AI Act for Product Managers &amp; Owners</w:t>
      </w:r>
    </w:p>
    <w:p>
      <w:pPr>
        <w:spacing w:after="200"/>
      </w:pPr>
      <w:r>
        <w:rPr>
          <w:i/>
          <w:color w:val="6B7094"/>
        </w:rPr>
        <w:t>Frameworks, checklists, and templates for turning the AI Act into a workable backlog — risk classification, actionable user stories, and documentation that satisfies legal.</w:t>
      </w:r>
    </w:p>
    <w:p>
      <w:pPr>
        <w:pStyle w:val="Heading1"/>
        <w:spacing w:before="280" w:after="80"/>
      </w:pPr>
      <w:r>
        <w:rPr>
          <w:color w:val="2D3A8C"/>
          <w:sz w:val="26"/>
        </w:rPr>
        <w:t>Duration</w:t>
      </w:r>
    </w:p>
    <w:p>
      <w:r>
        <w:t>3 hours</w:t>
      </w:r>
    </w:p>
    <w:p>
      <w:pPr>
        <w:pStyle w:val="Heading1"/>
        <w:spacing w:before="280" w:after="80"/>
      </w:pPr>
      <w:r>
        <w:rPr>
          <w:color w:val="2D3A8C"/>
          <w:sz w:val="26"/>
        </w:rPr>
        <w:t>Intended Learners</w:t>
      </w:r>
    </w:p>
    <w:p>
      <w:r>
        <w:t>For product people who have to keep shipping while the compliance questions pile up.</w:t>
      </w:r>
    </w:p>
    <w:p>
      <w:pPr>
        <w:pStyle w:val="ListBullet"/>
        <w:spacing w:after="40"/>
      </w:pPr>
      <w:r>
        <w:t>Product managers and product owners responsible for AI-powered features or products</w:t>
      </w:r>
    </w:p>
    <w:p>
      <w:pPr>
        <w:pStyle w:val="ListBullet"/>
        <w:spacing w:after="40"/>
      </w:pPr>
      <w:r>
        <w:t>Business analysts defining requirements for AI systems</w:t>
      </w:r>
    </w:p>
    <w:p>
      <w:pPr>
        <w:pStyle w:val="ListBullet"/>
        <w:spacing w:after="40"/>
      </w:pPr>
      <w:r>
        <w:t>Project managers overseeing the delivery of AI projects</w:t>
      </w:r>
    </w:p>
    <w:p>
      <w:pPr>
        <w:pStyle w:val="ListBullet"/>
        <w:spacing w:after="40"/>
      </w:pPr>
      <w:r>
        <w:t>Startup founders and innovators building AI-first products for the EU market</w:t>
      </w:r>
    </w:p>
    <w:p>
      <w:pPr>
        <w:pStyle w:val="Heading1"/>
        <w:spacing w:before="280" w:after="80"/>
      </w:pPr>
      <w:r>
        <w:rPr>
          <w:color w:val="2D3A8C"/>
          <w:sz w:val="26"/>
        </w:rPr>
        <w:t>Prerequisites</w:t>
      </w:r>
    </w:p>
    <w:p>
      <w:r>
        <w:t>Basic product-management practice — backlog grooming, roadmap planning.</w:t>
      </w:r>
    </w:p>
    <w:p>
      <w:pPr>
        <w:pStyle w:val="Heading1"/>
        <w:spacing w:before="280" w:after="80"/>
      </w:pPr>
      <w:r>
        <w:rPr>
          <w:color w:val="2D3A8C"/>
          <w:sz w:val="26"/>
        </w:rPr>
        <w:t>What You Will Learn</w:t>
      </w:r>
    </w:p>
    <w:p>
      <w:pPr>
        <w:pStyle w:val="ListBullet"/>
        <w:spacing w:after="40"/>
      </w:pPr>
      <w:r>
        <w:t>Identify and classify the AI systems in your portfolio against the Act's risk tiers</w:t>
      </w:r>
    </w:p>
    <w:p>
      <w:pPr>
        <w:pStyle w:val="ListBullet"/>
        <w:spacing w:after="40"/>
      </w:pPr>
      <w:r>
        <w:t>Turn dense legal requirements into clear user stories and acceptance criteria</w:t>
      </w:r>
    </w:p>
    <w:p>
      <w:pPr>
        <w:pStyle w:val="ListBullet"/>
        <w:spacing w:after="40"/>
      </w:pPr>
      <w:r>
        <w:t>Build a compliance-aware backlog that carries legal needs without killing velocity</w:t>
      </w:r>
    </w:p>
    <w:p>
      <w:pPr>
        <w:pStyle w:val="ListBullet"/>
        <w:spacing w:after="40"/>
      </w:pPr>
      <w:r>
        <w:t>Run a high-risk AI assessment workshop that aligns stakeholders and prioritizes the work</w:t>
      </w:r>
    </w:p>
    <w:p>
      <w:pPr>
        <w:pStyle w:val="ListBullet"/>
        <w:spacing w:after="40"/>
      </w:pPr>
      <w:r>
        <w:t>Set up a documentation strategy that satisfies legal teams and regulators</w:t>
      </w:r>
    </w:p>
    <w:p>
      <w:pPr>
        <w:pStyle w:val="ListBullet"/>
        <w:spacing w:after="40"/>
      </w:pPr>
      <w:r>
        <w:t>Keep technical teams and legal counsel aligned by speaking both languages</w:t>
      </w:r>
    </w:p>
    <w:p>
      <w:pPr>
        <w:pStyle w:val="Heading1"/>
        <w:spacing w:before="280" w:after="80"/>
      </w:pPr>
      <w:r>
        <w:rPr>
          <w:color w:val="2D3A8C"/>
          <w:sz w:val="26"/>
        </w:rPr>
        <w:t>Course Description</w:t>
      </w:r>
    </w:p>
    <w:p>
      <w:pPr>
        <w:spacing w:after="120"/>
      </w:pPr>
      <w:r>
        <w:t>The AI Act lands on a product roadmap as a large, ambiguous blocker: nobody can tell you exactly what it requires of your product, legal answers arrive slowly, and meanwhile your developers need tickets they can act on. The risk isn't only fines — it's compliance debt quietly accumulating in a product you keep shipping.</w:t>
      </w:r>
    </w:p>
    <w:p>
      <w:pPr>
        <w:spacing w:after="120"/>
      </w:pPr>
      <w:r>
        <w:t>This training doesn't try to turn you into a lawyer. It gives you the product-side toolkit instead: classify the systems in your portfolio against the Act's risk tiers, decide what that classification means for the roadmap, and translate the legal requirements into user stories and acceptance criteria your team can actually build against. We walk step by step through running a high-risk AI assessment workshop with your stakeholders, and through a documentation playbook that gives legal and regulators what they need without drowning the team.</w:t>
      </w:r>
    </w:p>
    <w:p>
      <w:pPr>
        <w:spacing w:after="120"/>
      </w:pPr>
      <w:r>
        <w:t>You leave with the frameworks, checklists, and templates used in the session — and with the ability to be the person who keeps legal, engineering, and the roadmap pointed in the same direction.</w:t>
      </w:r>
    </w:p>
    <w:p>
      <w:pPr>
        <w:pStyle w:val="Heading1"/>
        <w:spacing w:before="280" w:after="80"/>
      </w:pPr>
      <w:r>
        <w:rPr>
          <w:color w:val="2D3A8C"/>
          <w:sz w:val="26"/>
        </w:rPr>
        <w:t>High-Level Curriculum</w:t>
      </w:r>
    </w:p>
    <w:p>
      <w:pPr>
        <w:spacing w:before="120" w:after="40"/>
      </w:pPr>
      <w:r>
        <w:rPr>
          <w:b/>
        </w:rPr>
        <w:t>The EU AI Act core essentials</w:t>
      </w:r>
    </w:p>
    <w:p>
      <w:pPr>
        <w:pStyle w:val="ListBullet"/>
        <w:spacing w:after="40"/>
      </w:pPr>
      <w:r>
        <w:t>The risk tiers and where products fall</w:t>
      </w:r>
    </w:p>
    <w:p>
      <w:pPr>
        <w:pStyle w:val="ListBullet"/>
        <w:spacing w:after="40"/>
      </w:pPr>
      <w:r>
        <w:t>What the Act means for a product roadmap</w:t>
      </w:r>
    </w:p>
    <w:p>
      <w:pPr>
        <w:spacing w:before="120" w:after="40"/>
      </w:pPr>
      <w:r>
        <w:rPr>
          <w:b/>
        </w:rPr>
        <w:t>The compliance-aware product roadmap</w:t>
      </w:r>
    </w:p>
    <w:p>
      <w:pPr>
        <w:pStyle w:val="ListBullet"/>
        <w:spacing w:after="40"/>
      </w:pPr>
      <w:r>
        <w:t>Risk classification and strategy</w:t>
      </w:r>
    </w:p>
    <w:p>
      <w:pPr>
        <w:pStyle w:val="ListBullet"/>
        <w:spacing w:after="40"/>
      </w:pPr>
      <w:r>
        <w:t>Integrating legal needs without killing velocity</w:t>
      </w:r>
    </w:p>
    <w:p>
      <w:pPr>
        <w:spacing w:before="120" w:after="40"/>
      </w:pPr>
      <w:r>
        <w:rPr>
          <w:b/>
        </w:rPr>
        <w:t>From legal text to Jira ticket</w:t>
      </w:r>
    </w:p>
    <w:p>
      <w:pPr>
        <w:pStyle w:val="ListBullet"/>
        <w:spacing w:after="40"/>
      </w:pPr>
      <w:r>
        <w:t>Writing actionable requirements from the Act</w:t>
      </w:r>
    </w:p>
    <w:p>
      <w:pPr>
        <w:pStyle w:val="ListBullet"/>
        <w:spacing w:after="40"/>
      </w:pPr>
      <w:r>
        <w:t>User stories and acceptance criteria for compliance work</w:t>
      </w:r>
    </w:p>
    <w:p>
      <w:pPr>
        <w:spacing w:before="120" w:after="40"/>
      </w:pPr>
      <w:r>
        <w:rPr>
          <w:b/>
        </w:rPr>
        <w:t>Running the high-risk AI assessment workshop</w:t>
      </w:r>
    </w:p>
    <w:p>
      <w:pPr>
        <w:pStyle w:val="ListBullet"/>
        <w:spacing w:after="40"/>
      </w:pPr>
      <w:r>
        <w:t>A step-by-step guide to the workshop</w:t>
      </w:r>
    </w:p>
    <w:p>
      <w:pPr>
        <w:pStyle w:val="ListBullet"/>
        <w:spacing w:after="40"/>
      </w:pPr>
      <w:r>
        <w:t>Aligning stakeholders and prioritizing the work</w:t>
      </w:r>
    </w:p>
    <w:p>
      <w:pPr>
        <w:spacing w:before="120" w:after="40"/>
      </w:pPr>
      <w:r>
        <w:rPr>
          <w:b/>
        </w:rPr>
        <w:t>The product owner's documentation playbook</w:t>
      </w:r>
    </w:p>
    <w:p>
      <w:pPr>
        <w:pStyle w:val="ListBullet"/>
        <w:spacing w:after="40"/>
      </w:pPr>
      <w:r>
        <w:t>What to document, for whom, and when</w:t>
      </w:r>
    </w:p>
    <w:p>
      <w:pPr>
        <w:pStyle w:val="ListBullet"/>
        <w:spacing w:after="40"/>
      </w:pPr>
      <w:r>
        <w:t>Satisfying legal teams and regulators without drowning the team</w:t>
      </w:r>
    </w:p>
    <w:sectPr w:rsidR="00FC693F" w:rsidRPr="0006063C" w:rsidSect="00034616">
      <w:footerReference w:type="default" r:id="rId9"/>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094"/>
        <w:sz w:val="16"/>
      </w:rPr>
      <w:t>Robert Barcik — LearningDoe s.r.o. — barcik.training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