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EU AI Act pre produktových a projektových manažérov</w:t>
      </w:r>
    </w:p>
    <w:p>
      <w:pPr>
        <w:spacing w:after="200"/>
      </w:pPr>
      <w:r>
        <w:rPr>
          <w:i/>
          <w:color w:val="6B7094"/>
        </w:rPr>
        <w:t>Rámce, checklisty a šablóny na premenu Aktu o AI na zvládnuteľný backlog — klasifikácia rizík, realizovateľné user stories a dokumentácia, ktorá uspokojí právnikov.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3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produktových ľudí, ktorí musia ďalej dodávať, zatiaľ čo sa kopia compliance otázky.</w:t>
      </w:r>
    </w:p>
    <w:p>
      <w:pPr>
        <w:pStyle w:val="ListBullet"/>
        <w:spacing w:after="40"/>
      </w:pPr>
      <w:r>
        <w:t>Produktoví manažéri a product owneri zodpovední za funkcie alebo produkty postavené na AI</w:t>
      </w:r>
    </w:p>
    <w:p>
      <w:pPr>
        <w:pStyle w:val="ListBullet"/>
        <w:spacing w:after="40"/>
      </w:pPr>
      <w:r>
        <w:t>Biznis analytici definujúci požiadavky na AI systémy</w:t>
      </w:r>
    </w:p>
    <w:p>
      <w:pPr>
        <w:pStyle w:val="ListBullet"/>
        <w:spacing w:after="40"/>
      </w:pPr>
      <w:r>
        <w:t>Projektoví manažéri dohliadajúci na dodávku AI projektov</w:t>
      </w:r>
    </w:p>
    <w:p>
      <w:pPr>
        <w:pStyle w:val="ListBullet"/>
        <w:spacing w:after="40"/>
      </w:pPr>
      <w:r>
        <w:t>Zakladatelia startupov a inovátori stavajúci AI-first produkty pre trh EÚ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Základná prax v produktovom manažmente — správa backlogu, plánovanie roadmapy.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Identifikujete a zaradíte AI systémy vo svojom portfóliu podľa úrovní rizika Aktu</w:t>
      </w:r>
    </w:p>
    <w:p>
      <w:pPr>
        <w:pStyle w:val="ListBullet"/>
        <w:spacing w:after="40"/>
      </w:pPr>
      <w:r>
        <w:t>Premeníte hutné právne požiadavky na jasné user stories a akceptačné kritériá</w:t>
      </w:r>
    </w:p>
    <w:p>
      <w:pPr>
        <w:pStyle w:val="ListBullet"/>
        <w:spacing w:after="40"/>
      </w:pPr>
      <w:r>
        <w:t>Postavíte backlog zohľadňujúci compliance, ktorý unesie právne požiadavky bez zabitia rýchlosti vývoja</w:t>
      </w:r>
    </w:p>
    <w:p>
      <w:pPr>
        <w:pStyle w:val="ListBullet"/>
        <w:spacing w:after="40"/>
      </w:pPr>
      <w:r>
        <w:t>Zorganizujete workshop na posúdenie vysokorizikovej AI, ktorý zosúladí stakeholderov a zoradí prácu podľa priorít</w:t>
      </w:r>
    </w:p>
    <w:p>
      <w:pPr>
        <w:pStyle w:val="ListBullet"/>
        <w:spacing w:after="40"/>
      </w:pPr>
      <w:r>
        <w:t>Nastavíte stratégiu dokumentácie, ktorá uspokojí právne tímy aj regulátorov</w:t>
      </w:r>
    </w:p>
    <w:p>
      <w:pPr>
        <w:pStyle w:val="ListBullet"/>
        <w:spacing w:after="40"/>
      </w:pPr>
      <w:r>
        <w:t>Udržíte technické tímy a právnikov zosúladených, lebo hovoríte oboma jazykmi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Akt o AI pristane na produktovej roadmape ako veľký, nejasný blokátor: nikto vám nevie presne povedať, čo od vášho produktu vyžaduje, právne odpovede prichádzajú pomaly a vaši vývojári medzitým potrebujú tikety, s ktorými sa dá pracovať. Rizikom pritom nie sú len pokuty — je ním compliance dlh, ktorý sa potichu hromadí v produkte, ktorý ďalej dodávate.</w:t>
      </w:r>
    </w:p>
    <w:p>
      <w:pPr>
        <w:spacing w:after="120"/>
      </w:pPr>
      <w:r>
        <w:t>Toto školenie sa z vás nesnaží urobiť právnika. Namiesto toho vám dá produktovú výbavu: zaradíte systémy vo svojom portfóliu podľa úrovní rizika Aktu, rozhodnete, čo klasifikácia znamená pre roadmapu, a preložíte právne požiadavky do user stories a akceptačných kritérií, podľa ktorých tím reálne dokáže stavať. Krok za krokom prejdeme, ako so stakeholdermi zorganizovať workshop na posúdenie vysokorizikovej AI, a dokumentačný playbook, ktorý dá právnikom a regulátorom, čo potrebujú, bez utopenia tímu.</w:t>
      </w:r>
    </w:p>
    <w:p>
      <w:pPr>
        <w:spacing w:after="120"/>
      </w:pPr>
      <w:r>
        <w:t>Odchádzate s rámcami, checklistami a šablónami zo školenia — a so schopnosťou byť človekom, ktorý drží právnikov, inžinierov a roadmapu otočených rovnakým smerom.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Základy EU AI Act</w:t>
      </w:r>
    </w:p>
    <w:p>
      <w:pPr>
        <w:pStyle w:val="ListBullet"/>
        <w:spacing w:after="40"/>
      </w:pPr>
      <w:r>
        <w:t>Úrovne rizika a kam produkty spadajú</w:t>
      </w:r>
    </w:p>
    <w:p>
      <w:pPr>
        <w:pStyle w:val="ListBullet"/>
        <w:spacing w:after="40"/>
      </w:pPr>
      <w:r>
        <w:t>Čo Akt znamená pre produktovú roadmapu</w:t>
      </w:r>
    </w:p>
    <w:p>
      <w:pPr>
        <w:spacing w:before="120" w:after="40"/>
      </w:pPr>
      <w:r>
        <w:rPr>
          <w:b/>
        </w:rPr>
        <w:t>Produktová roadmapa zohľadňujúca compliance</w:t>
      </w:r>
    </w:p>
    <w:p>
      <w:pPr>
        <w:pStyle w:val="ListBullet"/>
        <w:spacing w:after="40"/>
      </w:pPr>
      <w:r>
        <w:t>Klasifikácia rizík a stratégia</w:t>
      </w:r>
    </w:p>
    <w:p>
      <w:pPr>
        <w:pStyle w:val="ListBullet"/>
        <w:spacing w:after="40"/>
      </w:pPr>
      <w:r>
        <w:t>Integrácia právnych požiadaviek bez zabitia rýchlosti vývoja</w:t>
      </w:r>
    </w:p>
    <w:p>
      <w:pPr>
        <w:spacing w:before="120" w:after="40"/>
      </w:pPr>
      <w:r>
        <w:rPr>
          <w:b/>
        </w:rPr>
        <w:t>Od právneho textu k tiketu v Jire</w:t>
      </w:r>
    </w:p>
    <w:p>
      <w:pPr>
        <w:pStyle w:val="ListBullet"/>
        <w:spacing w:after="40"/>
      </w:pPr>
      <w:r>
        <w:t>Tvorba realizovateľných požiadaviek z Aktu</w:t>
      </w:r>
    </w:p>
    <w:p>
      <w:pPr>
        <w:pStyle w:val="ListBullet"/>
        <w:spacing w:after="40"/>
      </w:pPr>
      <w:r>
        <w:t>User stories a akceptačné kritériá pre compliance prácu</w:t>
      </w:r>
    </w:p>
    <w:p>
      <w:pPr>
        <w:spacing w:before="120" w:after="40"/>
      </w:pPr>
      <w:r>
        <w:rPr>
          <w:b/>
        </w:rPr>
        <w:t>Workshop na posúdenie vysokorizikovej AI</w:t>
      </w:r>
    </w:p>
    <w:p>
      <w:pPr>
        <w:pStyle w:val="ListBullet"/>
        <w:spacing w:after="40"/>
      </w:pPr>
      <w:r>
        <w:t>Sprievodca workshopom krok za krokom</w:t>
      </w:r>
    </w:p>
    <w:p>
      <w:pPr>
        <w:pStyle w:val="ListBullet"/>
        <w:spacing w:after="40"/>
      </w:pPr>
      <w:r>
        <w:t>Zosúladenie stakeholderov a prioritizácia práce</w:t>
      </w:r>
    </w:p>
    <w:p>
      <w:pPr>
        <w:spacing w:before="120" w:after="40"/>
      </w:pPr>
      <w:r>
        <w:rPr>
          <w:b/>
        </w:rPr>
        <w:t>Dokumentačný playbook product ownera</w:t>
      </w:r>
    </w:p>
    <w:p>
      <w:pPr>
        <w:pStyle w:val="ListBullet"/>
        <w:spacing w:after="40"/>
      </w:pPr>
      <w:r>
        <w:t>Čo dokumentovať, pre koho a kedy</w:t>
      </w:r>
    </w:p>
    <w:p>
      <w:pPr>
        <w:pStyle w:val="ListBullet"/>
        <w:spacing w:after="40"/>
      </w:pPr>
      <w:r>
        <w:t>Ako uspokojiť právnikov a regulátorov bez utopenia tímu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