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Dátová veda pre produktových lídrov</w:t>
      </w:r>
    </w:p>
    <w:p>
      <w:pPr>
        <w:spacing w:after="200"/>
      </w:pPr>
      <w:r>
        <w:rPr>
          <w:i/>
          <w:color w:val="6B7094"/>
        </w:rPr>
        <w:t>Ako zadávať, plánovať a viesť projekty dátovej vedy — životný cyklus, tím a kľúčové technické koncepty, bez písania kódu.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2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ľudí, ktorí vedú a facilitujú produkty postavené na dátach: zodpovedajú za výsledok, ale modely nepíšu sami.</w:t>
      </w:r>
    </w:p>
    <w:p>
      <w:pPr>
        <w:pStyle w:val="ListBullet"/>
        <w:spacing w:after="40"/>
      </w:pPr>
      <w:r>
        <w:t>Produktoví manažéri a vlastníci produktov (product owners)</w:t>
      </w:r>
    </w:p>
    <w:p>
      <w:pPr>
        <w:pStyle w:val="ListBullet"/>
        <w:spacing w:after="40"/>
      </w:pPr>
      <w:r>
        <w:t>Scrum mastri a agilní kouči</w:t>
      </w:r>
    </w:p>
    <w:p>
      <w:pPr>
        <w:pStyle w:val="ListBullet"/>
        <w:spacing w:after="40"/>
      </w:pPr>
      <w:r>
        <w:t>Projektoví a programoví manažéri</w:t>
      </w:r>
    </w:p>
    <w:p>
      <w:pPr>
        <w:pStyle w:val="ListBullet"/>
        <w:spacing w:after="40"/>
      </w:pPr>
      <w:r>
        <w:t>Biznis analytici</w:t>
      </w:r>
    </w:p>
    <w:p>
      <w:pPr>
        <w:pStyle w:val="ListBullet"/>
        <w:spacing w:after="40"/>
      </w:pPr>
      <w:r>
        <w:t>Tímlídri a manažéri vývoja, ktorí čerstvo zodpovedajú za prácu s dátovou vedou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Nevyžadujú sa žiadne skúsenosti s programovaním — kurz je pre lídrov, nie pre praktikov. Potrebujete však dobre poznať produkty a biznisové ciele vlastnej organizácie.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Premeníte nejasný biznisový problém na presne definovaný use case dátovej vedy a posúdite jeho uskutočniteľnosť a pravdepodobnú návratnosť (ROI) skôr, než naň nasadíte tím</w:t>
      </w:r>
    </w:p>
    <w:p>
      <w:pPr>
        <w:pStyle w:val="ListBullet"/>
        <w:spacing w:after="40"/>
      </w:pPr>
      <w:r>
        <w:t>Sformulujete jasné, testovateľné hypotézy a projektové plány, ktoré udržia dátovú prácu v súlade s biznisovými cieľmi</w:t>
      </w:r>
    </w:p>
    <w:p>
      <w:pPr>
        <w:pStyle w:val="ListBullet"/>
        <w:spacing w:after="40"/>
      </w:pPr>
      <w:r>
        <w:t>Rozložíte životný cyklus dátovej vedy na jednotlivé fázy, aby ste vedeli riadiť rozsah, predvídať prekážky a nastavovať realistické očakávania stakeholderov</w:t>
      </w:r>
    </w:p>
    <w:p>
      <w:pPr>
        <w:pStyle w:val="ListBullet"/>
        <w:spacing w:after="40"/>
      </w:pPr>
      <w:r>
        <w:t>Budete sledovať prácu svojho dátového tímu od exploračnej analýzy dát (EDA) po nasadenie modelu a v kľúčových momentoch hovoriť ich jazykom</w:t>
      </w:r>
    </w:p>
    <w:p>
      <w:pPr>
        <w:pStyle w:val="ListBullet"/>
        <w:spacing w:after="40"/>
      </w:pPr>
      <w:r>
        <w:t>Rozlíšite hlavné prístupy strojového učenia — učenie s učiteľom vs. bez učiteľa, regresiu vs. klasifikáciu — natoľko, aby ste vedeli spárovať technické riešenie s potrebou produktu</w:t>
      </w:r>
    </w:p>
    <w:p>
      <w:pPr>
        <w:pStyle w:val="ListBullet"/>
        <w:spacing w:after="40"/>
      </w:pPr>
      <w:r>
        <w:t>Vyhodnotíte postup projektu a výstupy modelov otázkami, na ktorých záleží: o kvalite dát, feature engineeringu a metrikách výkonnosti</w:t>
      </w:r>
    </w:p>
    <w:p>
      <w:pPr>
        <w:pStyle w:val="ListBullet"/>
        <w:spacing w:after="40"/>
      </w:pPr>
      <w:r>
        <w:t>Naplánujete, čo príde po spustení — nasadenie, monitorovanie a iterácie modelov v produkcii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Váš tím dátových vedcov diskutuje o AUC skóre, dôležitosti príznakov a nevyváženosti tried a vy sa snažíte zodpovedať jedinú otázku, na ktorej vám záleží: smerujeme k vyriešeniu problému zákazníka? Ak zodpovedáte za hodnotu z dátovej vedy, no stojíte mimo technickej konverzácie, narazili ste na najčastejšiu príčinu zlyhania týchto projektov — komunikačnú priepasť medzi produktovým vedením a dátovým tímom.</w:t>
      </w:r>
    </w:p>
    <w:p>
      <w:pPr>
        <w:spacing w:after="120"/>
      </w:pPr>
      <w:r>
        <w:t>Toto školenie pracuje na tej priepasti zo strany vedenia. Štatistickú teóriu aj kód v Pythone vynechávame a sústredíme sa na rámec, ktorý potrebujete na riadenie: ako sformulovať use case a posúdiť jeho uskutočniteľnosť a ROI, ako fáza po fáze vyzerá životný cyklus dátovej vedy, ako sú dátové tímy štruktúrované a ako sa agilné praktiky prekladajú do ich práce, a čo kľúčové koncepty modelovania znamenajú pre váš produkt. Typicky beží ako dvojdňový intenzívny kurz, prípadne ako program na čiastočný úväzok rozložený do približne štyroch týždňov.</w:t>
      </w:r>
    </w:p>
    <w:p>
      <w:pPr>
        <w:spacing w:after="120"/>
      </w:pPr>
      <w:r>
        <w:t>Odchádzate schopní viac než len prijímať technické updaty: viete znížiť riziko projektu už pri zadaní, spochybniť predpoklady konkrétnymi otázkami a viesť tím k výsledkom, nie k výstupom. Tým sa stávate funkčným spojivom medzi tým, čo je technicky možné, a tým, čo trh naozaj potrebuje.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Rámcovanie projektu dátovej vedy</w:t>
      </w:r>
    </w:p>
    <w:p>
      <w:pPr>
        <w:pStyle w:val="ListBullet"/>
        <w:spacing w:after="40"/>
      </w:pPr>
      <w:r>
        <w:t>Rozdiel medzi modelmi, projektmi a produktmi</w:t>
      </w:r>
    </w:p>
    <w:p>
      <w:pPr>
        <w:pStyle w:val="ListBullet"/>
        <w:spacing w:after="40"/>
      </w:pPr>
      <w:r>
        <w:t>Od vágnych nápadov k životaschopným use caseom</w:t>
      </w:r>
    </w:p>
    <w:p>
      <w:pPr>
        <w:pStyle w:val="ListBullet"/>
        <w:spacing w:after="40"/>
      </w:pPr>
      <w:r>
        <w:t>Rámec na posúdenie uskutočniteľnosti projektu a ROI</w:t>
      </w:r>
    </w:p>
    <w:p>
      <w:pPr>
        <w:spacing w:before="120" w:after="40"/>
      </w:pPr>
      <w:r>
        <w:rPr>
          <w:b/>
        </w:rPr>
        <w:t>Životný cyklus dátovej vedy v praxi</w:t>
      </w:r>
    </w:p>
    <w:p>
      <w:pPr>
        <w:pStyle w:val="ListBullet"/>
        <w:spacing w:after="40"/>
      </w:pPr>
      <w:r>
        <w:t>Zadanie rozsahu, plánovanie a tvorba testovateľných hypotéz</w:t>
      </w:r>
    </w:p>
    <w:p>
      <w:pPr>
        <w:pStyle w:val="ListBullet"/>
        <w:spacing w:after="40"/>
      </w:pPr>
      <w:r>
        <w:t>Kľúčové fázy: od biznisového porozumenia po nasadenie</w:t>
      </w:r>
    </w:p>
    <w:p>
      <w:pPr>
        <w:pStyle w:val="ListBullet"/>
        <w:spacing w:after="40"/>
      </w:pPr>
      <w:r>
        <w:t>Riadenie neistoty a iteratívny vývoj</w:t>
      </w:r>
    </w:p>
    <w:p>
      <w:pPr>
        <w:spacing w:before="120" w:after="40"/>
      </w:pPr>
      <w:r>
        <w:rPr>
          <w:b/>
        </w:rPr>
        <w:t>Vedenie výkonných tímov dátovej vedy</w:t>
      </w:r>
    </w:p>
    <w:p>
      <w:pPr>
        <w:pStyle w:val="ListBullet"/>
        <w:spacing w:after="40"/>
      </w:pPr>
      <w:r>
        <w:t>Základné roly, zodpovednosti a typológie tímov</w:t>
      </w:r>
    </w:p>
    <w:p>
      <w:pPr>
        <w:pStyle w:val="ListBullet"/>
        <w:spacing w:after="40"/>
      </w:pPr>
      <w:r>
        <w:t>Agile pre dátovú vedu: pracovné postupy, rituály a roadmapy</w:t>
      </w:r>
    </w:p>
    <w:p>
      <w:pPr>
        <w:pStyle w:val="ListBullet"/>
        <w:spacing w:after="40"/>
      </w:pPr>
      <w:r>
        <w:t>Zosúladenie práce tímu so širšími cieľmi organizácie</w:t>
      </w:r>
    </w:p>
    <w:p>
      <w:pPr>
        <w:spacing w:before="120" w:after="40"/>
      </w:pPr>
      <w:r>
        <w:rPr>
          <w:b/>
        </w:rPr>
        <w:t>Od surových dát k využiteľným poznatkom</w:t>
      </w:r>
    </w:p>
    <w:p>
      <w:pPr>
        <w:pStyle w:val="ListBullet"/>
        <w:spacing w:after="40"/>
      </w:pPr>
      <w:r>
        <w:t>Porozumenie dátam: čo predstavujú a odkiaľ pochádzajú</w:t>
      </w:r>
    </w:p>
    <w:p>
      <w:pPr>
        <w:pStyle w:val="ListBullet"/>
        <w:spacing w:after="40"/>
      </w:pPr>
      <w:r>
        <w:t>Sprievodca exploračnou analýzou dát (EDA) pre manažérov</w:t>
      </w:r>
    </w:p>
    <w:p>
      <w:pPr>
        <w:pStyle w:val="ListBullet"/>
        <w:spacing w:after="40"/>
      </w:pPr>
      <w:r>
        <w:t>Správne otázky o kvalite a vizualizácii dát</w:t>
      </w:r>
    </w:p>
    <w:p>
      <w:pPr>
        <w:spacing w:before="120" w:after="40"/>
      </w:pPr>
      <w:r>
        <w:rPr>
          <w:b/>
        </w:rPr>
        <w:t>Dekódovanie modelu strojového učenia</w:t>
      </w:r>
    </w:p>
    <w:p>
      <w:pPr>
        <w:pStyle w:val="ListBullet"/>
        <w:spacing w:after="40"/>
      </w:pPr>
      <w:r>
        <w:t>Feature engineering: skutočný zdroj sily modelu</w:t>
      </w:r>
    </w:p>
    <w:p>
      <w:pPr>
        <w:pStyle w:val="ListBullet"/>
        <w:spacing w:after="40"/>
      </w:pPr>
      <w:r>
        <w:t>Netechnický úvod: učenie s učiteľom vs. bez učiteľa</w:t>
      </w:r>
    </w:p>
    <w:p>
      <w:pPr>
        <w:pStyle w:val="ListBullet"/>
        <w:spacing w:after="40"/>
      </w:pPr>
      <w:r>
        <w:t>Bežné rodiny modelov (regresia, klasifikácia)</w:t>
      </w:r>
    </w:p>
    <w:p>
      <w:pPr>
        <w:spacing w:before="120" w:after="40"/>
      </w:pPr>
      <w:r>
        <w:rPr>
          <w:b/>
        </w:rPr>
        <w:t>Od modelu k trhu</w:t>
      </w:r>
    </w:p>
    <w:p>
      <w:pPr>
        <w:pStyle w:val="ListBullet"/>
        <w:spacing w:after="40"/>
      </w:pPr>
      <w:r>
        <w:t>Osvedčené postupy nasadenia a integrácie modelov</w:t>
      </w:r>
    </w:p>
    <w:p>
      <w:pPr>
        <w:pStyle w:val="ListBullet"/>
        <w:spacing w:after="40"/>
      </w:pPr>
      <w:r>
        <w:t>Monitorovanie výkonnosti, driftu a biznisového dopadu</w:t>
      </w:r>
    </w:p>
    <w:p>
      <w:pPr>
        <w:pStyle w:val="ListBullet"/>
        <w:spacing w:after="40"/>
      </w:pPr>
      <w:r>
        <w:t>Plánovanie iterácií a ďalšej verzie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