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2D3A8C"/>
        </w:rPr>
        <w:t>GenAI Foundation</w:t>
      </w:r>
    </w:p>
    <w:p>
      <w:pPr>
        <w:spacing w:after="200"/>
      </w:pPr>
      <w:r>
        <w:rPr>
          <w:i/>
          <w:color w:val="6B7094"/>
        </w:rPr>
        <w:t>A 360° view of generative AI — from working with today's tools on solid principles to watching real applications get built, no coding required.</w:t>
      </w:r>
    </w:p>
    <w:p>
      <w:pPr>
        <w:pStyle w:val="Heading1"/>
        <w:spacing w:before="280" w:after="80"/>
      </w:pPr>
      <w:r>
        <w:rPr>
          <w:color w:val="2D3A8C"/>
          <w:sz w:val="26"/>
        </w:rPr>
        <w:t>Duration</w:t>
      </w:r>
    </w:p>
    <w:p>
      <w:r>
        <w:t>1-3 days</w:t>
      </w:r>
    </w:p>
    <w:p>
      <w:pPr>
        <w:pStyle w:val="Heading1"/>
        <w:spacing w:before="280" w:after="80"/>
      </w:pPr>
      <w:r>
        <w:rPr>
          <w:color w:val="2D3A8C"/>
          <w:sz w:val="26"/>
        </w:rPr>
        <w:t>Intended Learners</w:t>
      </w:r>
    </w:p>
    <w:p>
      <w:r>
        <w:t>This course is built for mixed audiences — no technical background required. Each session starts with a short calibration: where participants stand today and what they expect, so the depth and pace fit the room.</w:t>
      </w:r>
    </w:p>
    <w:p>
      <w:pPr>
        <w:pStyle w:val="ListBullet"/>
        <w:spacing w:after="40"/>
      </w:pPr>
      <w:r>
        <w:t>Business leaders and department managers</w:t>
      </w:r>
    </w:p>
    <w:p>
      <w:pPr>
        <w:pStyle w:val="ListBullet"/>
        <w:spacing w:after="40"/>
      </w:pPr>
      <w:r>
        <w:t>Product owners and product managers</w:t>
      </w:r>
    </w:p>
    <w:p>
      <w:pPr>
        <w:pStyle w:val="ListBullet"/>
        <w:spacing w:after="40"/>
      </w:pPr>
      <w:r>
        <w:t>IT professionals and technical leads</w:t>
      </w:r>
    </w:p>
    <w:p>
      <w:pPr>
        <w:pStyle w:val="ListBullet"/>
        <w:spacing w:after="40"/>
      </w:pPr>
      <w:r>
        <w:t>Anyone responsible for shaping AI initiatives in their organization</w:t>
      </w:r>
    </w:p>
    <w:p>
      <w:pPr>
        <w:pStyle w:val="Heading1"/>
        <w:spacing w:before="280" w:after="80"/>
      </w:pPr>
      <w:r>
        <w:rPr>
          <w:color w:val="2D3A8C"/>
          <w:sz w:val="26"/>
        </w:rPr>
        <w:t>Prerequisites</w:t>
      </w:r>
    </w:p>
    <w:p>
      <w:r>
        <w:t>None. No technical background required.</w:t>
      </w:r>
    </w:p>
    <w:p>
      <w:pPr>
        <w:pStyle w:val="Heading1"/>
        <w:spacing w:before="280" w:after="80"/>
      </w:pPr>
      <w:r>
        <w:rPr>
          <w:color w:val="2D3A8C"/>
          <w:sz w:val="26"/>
        </w:rPr>
        <w:t>What You Will Learn</w:t>
      </w:r>
    </w:p>
    <w:p>
      <w:pPr>
        <w:pStyle w:val="ListBullet"/>
        <w:spacing w:after="40"/>
      </w:pPr>
      <w:r>
        <w:t>Update your mental model of generative AI — what changed since the early chatbot era, and why most common objections (hallucination, unreliability) look different today</w:t>
      </w:r>
    </w:p>
    <w:p>
      <w:pPr>
        <w:pStyle w:val="ListBullet"/>
        <w:spacing w:after="40"/>
      </w:pPr>
      <w:r>
        <w:t>Work with LLMs on solid principles: how the context window works, why providing the right information matters more than clever prompting tricks, and how custom instructions tame issues like sycophancy</w:t>
      </w:r>
    </w:p>
    <w:p>
      <w:pPr>
        <w:pStyle w:val="ListBullet"/>
        <w:spacing w:after="40"/>
      </w:pPr>
      <w:r>
        <w:t>Use the current generation of capabilities: connectors to your data and tools, reasoning models, and agents that complete multi-step work</w:t>
      </w:r>
    </w:p>
    <w:p>
      <w:pPr>
        <w:pStyle w:val="ListBullet"/>
        <w:spacing w:after="40"/>
      </w:pPr>
      <w:r>
        <w:t>Understand, conceptually and without math, how a transformer works and what scaling laws tell us about where the field is heading</w:t>
      </w:r>
    </w:p>
    <w:p>
      <w:pPr>
        <w:pStyle w:val="ListBullet"/>
        <w:spacing w:after="40"/>
      </w:pPr>
      <w:r>
        <w:t>See how GenAI applications are actually built: vendor APIs, open-source models from Hugging Face or Ollama, and how a few Python scripts become a working AI-powered application</w:t>
      </w:r>
    </w:p>
    <w:p>
      <w:pPr>
        <w:pStyle w:val="ListBullet"/>
        <w:spacing w:after="40"/>
      </w:pPr>
      <w:r>
        <w:t>Recognize the professional development landscape — RAG over private data, Model Context Protocol (MCP), orchestration frameworks, and coding agents — well enough to scope projects and talk to engineering teams</w:t>
      </w:r>
    </w:p>
    <w:p>
      <w:pPr>
        <w:pStyle w:val="ListBullet"/>
        <w:spacing w:after="40"/>
      </w:pPr>
      <w:r>
        <w:t>Apply the key principles of the EU AI Act when planning AI initiatives</w:t>
      </w:r>
    </w:p>
    <w:p>
      <w:pPr>
        <w:pStyle w:val="Heading1"/>
        <w:spacing w:before="280" w:after="80"/>
      </w:pPr>
      <w:r>
        <w:rPr>
          <w:color w:val="2D3A8C"/>
          <w:sz w:val="26"/>
        </w:rPr>
        <w:t>Course Description</w:t>
      </w:r>
    </w:p>
    <w:p>
      <w:pPr>
        <w:spacing w:after="120"/>
      </w:pPr>
      <w:r>
        <w:t>Most people arrive at this training with a picture of generative AI frozen in 2024: a chatbot that writes plausible text and confidently makes things up. That picture is outdated, and decisions based on it tend to be wrong in both directions — dismissing AI for problems that have been largely solved, or trusting it in ways that still fail.</w:t>
      </w:r>
    </w:p>
    <w:p>
      <w:pPr>
        <w:spacing w:after="120"/>
      </w:pPr>
      <w:r>
        <w:t>The first part of the course updates that picture through hands-on principles rather than slides. You'll see why hallucination is now mostly an information-supply problem you can control, how custom instructions change model behavior, and what connectors, reasoning models, and agents make possible today. We then go under the hood: how a transformer works, explained conceptually without mathematics, and what scaling laws and interpretability research suggest about the next few years. The goal is confidence — being able to follow the field instead of reacting to headlines.</w:t>
      </w:r>
    </w:p>
    <w:p>
      <w:pPr>
        <w:spacing w:after="120"/>
      </w:pPr>
      <w:r>
        <w:t>The second part is the shift that participants consistently name as the most valuable: switching from the user's view to the developer's view. You won't write code, but you'll watch applications get built — connecting to a vendor API, pulling an open-source model from Hugging Face or Ollama, and turning a few Python scripts into a working GenAI-powered app. From there we look at how professionals build today: retrieval over your company's private data (RAG), the Model Context Protocol, orchestration frameworks like Google's Agent Development Kit, and coding agents such as Claude Code. You leave knowing what's easy, what's hard, what it costs, and what to ask for — whether you're approving a project, scoping one, or building one.</w:t>
      </w:r>
    </w:p>
    <w:p>
      <w:pPr>
        <w:pStyle w:val="Heading1"/>
        <w:spacing w:before="280" w:after="80"/>
      </w:pPr>
      <w:r>
        <w:rPr>
          <w:color w:val="2D3A8C"/>
          <w:sz w:val="26"/>
        </w:rPr>
        <w:t>High-Level Curriculum</w:t>
      </w:r>
    </w:p>
    <w:p>
      <w:pPr>
        <w:spacing w:before="120" w:after="40"/>
      </w:pPr>
      <w:r>
        <w:rPr>
          <w:b/>
        </w:rPr>
        <w:t>Working with Modern AI</w:t>
      </w:r>
    </w:p>
    <w:p>
      <w:pPr>
        <w:pStyle w:val="ListBullet"/>
        <w:spacing w:after="40"/>
      </w:pPr>
      <w:r>
        <w:t>Where the field actually is — recalibrating from the 2024 chatbot era</w:t>
      </w:r>
    </w:p>
    <w:p>
      <w:pPr>
        <w:pStyle w:val="ListBullet"/>
        <w:spacing w:after="40"/>
      </w:pPr>
      <w:r>
        <w:t>Core principles: context windows, managing hallucination, custom instructions and sycophancy</w:t>
      </w:r>
    </w:p>
    <w:p>
      <w:pPr>
        <w:pStyle w:val="ListBullet"/>
        <w:spacing w:after="40"/>
      </w:pPr>
      <w:r>
        <w:t>Today's capabilities: connectors, reasoning models, agents, and workplace tools</w:t>
      </w:r>
    </w:p>
    <w:p>
      <w:pPr>
        <w:spacing w:before="120" w:after="40"/>
      </w:pPr>
      <w:r>
        <w:rPr>
          <w:b/>
        </w:rPr>
        <w:t>Under the Hood</w:t>
      </w:r>
    </w:p>
    <w:p>
      <w:pPr>
        <w:pStyle w:val="ListBullet"/>
        <w:spacing w:after="40"/>
      </w:pPr>
      <w:r>
        <w:t>How a transformer works — conceptual, no math</w:t>
      </w:r>
    </w:p>
    <w:p>
      <w:pPr>
        <w:pStyle w:val="ListBullet"/>
        <w:spacing w:after="40"/>
      </w:pPr>
      <w:r>
        <w:t>Scaling laws: how progress happens and where it's heading</w:t>
      </w:r>
    </w:p>
    <w:p>
      <w:pPr>
        <w:pStyle w:val="ListBullet"/>
        <w:spacing w:after="40"/>
      </w:pPr>
      <w:r>
        <w:t>A glimpse of what's next: interpretability and ongoing research</w:t>
      </w:r>
    </w:p>
    <w:p>
      <w:pPr>
        <w:spacing w:before="120" w:after="40"/>
      </w:pPr>
      <w:r>
        <w:rPr>
          <w:b/>
        </w:rPr>
        <w:t>The Developer's View</w:t>
      </w:r>
    </w:p>
    <w:p>
      <w:pPr>
        <w:pStyle w:val="ListBullet"/>
        <w:spacing w:after="40"/>
      </w:pPr>
      <w:r>
        <w:t>Building blocks: vendor APIs and open-source models (Hugging Face, Ollama)</w:t>
      </w:r>
    </w:p>
    <w:p>
      <w:pPr>
        <w:pStyle w:val="ListBullet"/>
        <w:spacing w:after="40"/>
      </w:pPr>
      <w:r>
        <w:t>Live build: from a few Python scripts to a working GenAI application</w:t>
      </w:r>
    </w:p>
    <w:p>
      <w:pPr>
        <w:pStyle w:val="ListBullet"/>
        <w:spacing w:after="40"/>
      </w:pPr>
      <w:r>
        <w:t>Connecting AI to your data: RAG and custom solutions</w:t>
      </w:r>
    </w:p>
    <w:p>
      <w:pPr>
        <w:pStyle w:val="ListBullet"/>
        <w:spacing w:after="40"/>
      </w:pPr>
      <w:r>
        <w:t>Professional tooling: MCP, orchestration frameworks, coding agents</w:t>
      </w:r>
    </w:p>
    <w:p>
      <w:pPr>
        <w:spacing w:before="120" w:after="40"/>
      </w:pPr>
      <w:r>
        <w:rPr>
          <w:b/>
        </w:rPr>
        <w:t>Strategic &amp; Compliant Adoption</w:t>
      </w:r>
    </w:p>
    <w:p>
      <w:pPr>
        <w:pStyle w:val="ListBullet"/>
        <w:spacing w:after="40"/>
      </w:pPr>
      <w:r>
        <w:t>The EU AI Act: what it means for your AI projects</w:t>
      </w:r>
    </w:p>
    <w:p>
      <w:pPr>
        <w:pStyle w:val="ListBullet"/>
        <w:spacing w:after="40"/>
      </w:pPr>
      <w:r>
        <w:t>Assessing use cases: a practical risk-and-value framework</w:t>
      </w:r>
    </w:p>
    <w:sectPr w:rsidR="00FC693F" w:rsidRPr="0006063C" w:rsidSect="00034616">
      <w:footerReference w:type="default" r:id="rId9"/>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094"/>
        <w:sz w:val="16"/>
      </w:rPr>
      <w:t>Robert Barcik — LearningDoe s.r.o. — barcik.training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